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EA6ED">
      <w:pPr>
        <w:pStyle w:val="2"/>
        <w:keepNext w:val="0"/>
        <w:keepLines w:val="0"/>
        <w:pageBreakBefore w:val="0"/>
        <w:kinsoku/>
        <w:wordWrap/>
        <w:topLinePunct w:val="0"/>
        <w:autoSpaceDE w:val="0"/>
        <w:autoSpaceDN w:val="0"/>
        <w:bidi w:val="0"/>
        <w:adjustRightInd w:val="0"/>
        <w:snapToGrid w:val="0"/>
        <w:spacing w:before="114" w:line="228" w:lineRule="auto"/>
        <w:jc w:val="center"/>
        <w:textAlignment w:val="baseline"/>
        <w:outlineLvl w:val="0"/>
        <w:rPr>
          <w:b/>
          <w:bCs/>
          <w:sz w:val="35"/>
          <w:szCs w:val="35"/>
        </w:rPr>
      </w:pPr>
      <w:r>
        <w:rPr>
          <w:rFonts w:hint="eastAsia"/>
          <w:b/>
          <w:bCs/>
          <w:color w:val="auto"/>
          <w:spacing w:val="5"/>
          <w:sz w:val="35"/>
          <w:szCs w:val="35"/>
          <w:lang w:eastAsia="zh-CN"/>
        </w:rPr>
        <w:t>九江科技职业大学</w:t>
      </w:r>
      <w:r>
        <w:rPr>
          <w:b/>
          <w:bCs/>
          <w:spacing w:val="5"/>
          <w:sz w:val="35"/>
          <w:szCs w:val="35"/>
        </w:rPr>
        <w:t>学术委员会章程</w:t>
      </w:r>
    </w:p>
    <w:p w14:paraId="2172B348">
      <w:pPr>
        <w:keepNext w:val="0"/>
        <w:keepLines w:val="0"/>
        <w:pageBreakBefore w:val="0"/>
        <w:kinsoku/>
        <w:wordWrap/>
        <w:topLinePunct w:val="0"/>
        <w:autoSpaceDE w:val="0"/>
        <w:autoSpaceDN w:val="0"/>
        <w:bidi w:val="0"/>
        <w:adjustRightInd w:val="0"/>
        <w:snapToGrid w:val="0"/>
        <w:spacing w:line="267" w:lineRule="auto"/>
        <w:textAlignment w:val="baseline"/>
        <w:rPr>
          <w:rFonts w:ascii="Arial"/>
          <w:sz w:val="21"/>
        </w:rPr>
      </w:pPr>
    </w:p>
    <w:p w14:paraId="24EDCFA5">
      <w:pPr>
        <w:pStyle w:val="2"/>
        <w:keepNext w:val="0"/>
        <w:keepLines w:val="0"/>
        <w:pageBreakBefore w:val="0"/>
        <w:kinsoku/>
        <w:wordWrap/>
        <w:topLinePunct w:val="0"/>
        <w:autoSpaceDE w:val="0"/>
        <w:autoSpaceDN w:val="0"/>
        <w:bidi w:val="0"/>
        <w:adjustRightInd w:val="0"/>
        <w:snapToGrid w:val="0"/>
        <w:spacing w:before="101" w:line="228" w:lineRule="auto"/>
        <w:jc w:val="center"/>
        <w:textAlignment w:val="baseline"/>
        <w:outlineLvl w:val="0"/>
        <w:rPr>
          <w:sz w:val="31"/>
          <w:szCs w:val="31"/>
        </w:rPr>
      </w:pPr>
      <w:r>
        <w:rPr>
          <w:b/>
          <w:bCs/>
          <w:spacing w:val="-7"/>
          <w:sz w:val="31"/>
          <w:szCs w:val="31"/>
        </w:rPr>
        <w:t>第一章</w:t>
      </w:r>
      <w:r>
        <w:rPr>
          <w:spacing w:val="41"/>
          <w:sz w:val="31"/>
          <w:szCs w:val="31"/>
        </w:rPr>
        <w:t xml:space="preserve"> </w:t>
      </w:r>
      <w:r>
        <w:rPr>
          <w:b/>
          <w:bCs/>
          <w:spacing w:val="-7"/>
          <w:sz w:val="31"/>
          <w:szCs w:val="31"/>
        </w:rPr>
        <w:t>总则</w:t>
      </w:r>
    </w:p>
    <w:p w14:paraId="2FC815D2">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46" w:firstLineChars="200"/>
        <w:jc w:val="both"/>
        <w:textAlignment w:val="baseline"/>
      </w:pPr>
      <w:r>
        <w:rPr>
          <w:b/>
          <w:bCs/>
          <w:spacing w:val="-4"/>
        </w:rPr>
        <w:t>第一条</w:t>
      </w:r>
      <w:r>
        <w:rPr>
          <w:spacing w:val="-4"/>
        </w:rPr>
        <w:t xml:space="preserve"> 为了贯彻落实“励志 博学</w:t>
      </w:r>
      <w:r>
        <w:rPr>
          <w:spacing w:val="25"/>
        </w:rPr>
        <w:t xml:space="preserve"> </w:t>
      </w:r>
      <w:r>
        <w:rPr>
          <w:spacing w:val="-4"/>
        </w:rPr>
        <w:t>厚德</w:t>
      </w:r>
      <w:r>
        <w:rPr>
          <w:spacing w:val="19"/>
        </w:rPr>
        <w:t xml:space="preserve"> </w:t>
      </w:r>
      <w:r>
        <w:rPr>
          <w:spacing w:val="-4"/>
        </w:rPr>
        <w:t>创新</w:t>
      </w:r>
      <w:r>
        <w:rPr>
          <w:spacing w:val="-105"/>
        </w:rPr>
        <w:t xml:space="preserve"> </w:t>
      </w:r>
      <w:r>
        <w:rPr>
          <w:spacing w:val="-4"/>
        </w:rPr>
        <w:t>”的办学宗旨和“航天</w:t>
      </w:r>
      <w:r>
        <w:rPr>
          <w:spacing w:val="-3"/>
        </w:rPr>
        <w:t>科教</w:t>
      </w:r>
      <w:r>
        <w:rPr>
          <w:rFonts w:hint="eastAsia"/>
          <w:spacing w:val="-3"/>
          <w:lang w:val="en-US" w:eastAsia="zh-CN"/>
        </w:rPr>
        <w:t xml:space="preserve"> </w:t>
      </w:r>
      <w:r>
        <w:rPr>
          <w:spacing w:val="-3"/>
        </w:rPr>
        <w:t>兴我中华”的办学理念，进一步加强学术管理，规范学术工作制度，</w:t>
      </w:r>
      <w:r>
        <w:rPr>
          <w:spacing w:val="-1"/>
        </w:rPr>
        <w:t>提高学校人才培养、科研创新、传承文化、服务社会的水平，根据《中华人民共和国高等教育法》第四十二条“高等学校设立学术委员会，审议学科、专业的设置，教学科研研究计划方案，评定教学科学研究成果等有关</w:t>
      </w:r>
      <w:r>
        <w:rPr>
          <w:spacing w:val="-2"/>
        </w:rPr>
        <w:t>学术事项”和国家教育部《高等学校学术委员会规程》的有关规定，结合我校实际，制定本章程。</w:t>
      </w:r>
    </w:p>
    <w:p w14:paraId="671C9AE2">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第二条</w:t>
      </w:r>
      <w:r>
        <w:rPr>
          <w:spacing w:val="41"/>
        </w:rPr>
        <w:t xml:space="preserve"> </w:t>
      </w:r>
      <w:r>
        <w:rPr>
          <w:spacing w:val="2"/>
        </w:rPr>
        <w:t>学校依法设立</w:t>
      </w:r>
      <w:r>
        <w:rPr>
          <w:rFonts w:hint="eastAsia"/>
          <w:color w:val="auto"/>
          <w:spacing w:val="2"/>
          <w:lang w:eastAsia="zh-CN"/>
        </w:rPr>
        <w:t>九江科技职业大学</w:t>
      </w:r>
      <w:r>
        <w:rPr>
          <w:spacing w:val="2"/>
        </w:rPr>
        <w:t>学术委员会，健全以学术委</w:t>
      </w:r>
      <w:r>
        <w:rPr>
          <w:spacing w:val="-1"/>
        </w:rPr>
        <w:t>员会为核心的学术管理体系与组织架构；并以学术委员会作为校内最高学术机构，统筹行使学术事务的决策、审议、评定和咨询等职权。</w:t>
      </w:r>
    </w:p>
    <w:p w14:paraId="512BC227">
      <w:pPr>
        <w:pStyle w:val="2"/>
        <w:keepNext w:val="0"/>
        <w:keepLines w:val="0"/>
        <w:pageBreakBefore w:val="0"/>
        <w:widowControl/>
        <w:kinsoku/>
        <w:wordWrap/>
        <w:overflowPunct/>
        <w:topLinePunct w:val="0"/>
        <w:autoSpaceDE w:val="0"/>
        <w:autoSpaceDN w:val="0"/>
        <w:bidi w:val="0"/>
        <w:adjustRightInd w:val="0"/>
        <w:snapToGrid w:val="0"/>
        <w:spacing w:line="480" w:lineRule="exact"/>
        <w:ind w:right="0" w:firstLine="570" w:firstLineChars="200"/>
        <w:jc w:val="both"/>
        <w:textAlignment w:val="baseline"/>
      </w:pPr>
      <w:r>
        <w:rPr>
          <w:b/>
          <w:bCs/>
          <w:spacing w:val="2"/>
        </w:rPr>
        <w:t>第三条</w:t>
      </w:r>
      <w:r>
        <w:rPr>
          <w:spacing w:val="41"/>
        </w:rPr>
        <w:t xml:space="preserve"> </w:t>
      </w:r>
      <w:r>
        <w:rPr>
          <w:spacing w:val="2"/>
        </w:rPr>
        <w:t>学校充分发挥学术委员会在学科建设、学术评价、学术发展</w:t>
      </w:r>
      <w:r>
        <w:rPr>
          <w:spacing w:val="-1"/>
        </w:rPr>
        <w:t>和学风建设等事项上的重要作用，完善学术管理的体制、制度和规范，积极探索教授治学的有效途径，尊重并支持学术委员会独立行使职权，并为学术委员会正常开展工作提供必要的条件保障。</w:t>
      </w:r>
    </w:p>
    <w:p w14:paraId="36D5ABAE">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2" w:firstLineChars="200"/>
        <w:jc w:val="both"/>
        <w:textAlignment w:val="baseline"/>
      </w:pPr>
      <w:r>
        <w:rPr>
          <w:b/>
          <w:bCs/>
        </w:rPr>
        <w:t>第四条</w:t>
      </w:r>
      <w:r>
        <w:t xml:space="preserve"> 学校学术委员会遵循学术规律，尊重学术自由、学术平等，</w:t>
      </w:r>
      <w:r>
        <w:rPr>
          <w:spacing w:val="-1"/>
        </w:rPr>
        <w:t>鼓励学术创新，促进学术发展和人才培养，提高学术质量；应当公平、公正、公开地履行职责，保障教师、科研人员和学生在教学、科研和学术事务管理中充分发挥主体作用，促进学校科学发展。</w:t>
      </w:r>
    </w:p>
    <w:p w14:paraId="0D4D743D">
      <w:pPr>
        <w:pStyle w:val="2"/>
        <w:keepNext w:val="0"/>
        <w:keepLines w:val="0"/>
        <w:pageBreakBefore w:val="0"/>
        <w:widowControl/>
        <w:kinsoku/>
        <w:wordWrap/>
        <w:overflowPunct/>
        <w:topLinePunct w:val="0"/>
        <w:autoSpaceDE w:val="0"/>
        <w:autoSpaceDN w:val="0"/>
        <w:bidi w:val="0"/>
        <w:adjustRightInd w:val="0"/>
        <w:snapToGrid w:val="0"/>
        <w:spacing w:before="160" w:line="240" w:lineRule="auto"/>
        <w:ind w:left="0"/>
        <w:jc w:val="center"/>
        <w:textAlignment w:val="baseline"/>
        <w:outlineLvl w:val="0"/>
        <w:rPr>
          <w:sz w:val="31"/>
          <w:szCs w:val="31"/>
        </w:rPr>
      </w:pPr>
      <w:r>
        <w:rPr>
          <w:b/>
          <w:bCs/>
          <w:spacing w:val="-1"/>
          <w:sz w:val="31"/>
          <w:szCs w:val="31"/>
        </w:rPr>
        <w:t>第二章</w:t>
      </w:r>
      <w:r>
        <w:rPr>
          <w:spacing w:val="32"/>
          <w:sz w:val="31"/>
          <w:szCs w:val="31"/>
        </w:rPr>
        <w:t xml:space="preserve"> </w:t>
      </w:r>
      <w:r>
        <w:rPr>
          <w:b/>
          <w:bCs/>
          <w:spacing w:val="-1"/>
          <w:sz w:val="31"/>
          <w:szCs w:val="31"/>
        </w:rPr>
        <w:t>组成规则</w:t>
      </w:r>
    </w:p>
    <w:p w14:paraId="5A8B2595">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rPr>
          <w:rFonts w:ascii="仿宋" w:hAnsi="仿宋" w:eastAsia="仿宋" w:cs="仿宋"/>
          <w:snapToGrid w:val="0"/>
          <w:color w:val="000000"/>
          <w:spacing w:val="-1"/>
          <w:kern w:val="0"/>
          <w:sz w:val="28"/>
          <w:szCs w:val="28"/>
          <w:lang w:val="en-US" w:eastAsia="en-US" w:bidi="ar-SA"/>
        </w:rPr>
      </w:pPr>
      <w:r>
        <w:rPr>
          <w:b/>
          <w:bCs/>
          <w:spacing w:val="2"/>
        </w:rPr>
        <w:t>第五条</w:t>
      </w:r>
      <w:r>
        <w:rPr>
          <w:spacing w:val="41"/>
        </w:rPr>
        <w:t xml:space="preserve"> </w:t>
      </w:r>
      <w:r>
        <w:rPr>
          <w:spacing w:val="2"/>
        </w:rPr>
        <w:t>学术委员会由学校不同专业的教授或具有正高级以上专业技</w:t>
      </w:r>
      <w:r>
        <w:rPr>
          <w:spacing w:val="-1"/>
        </w:rPr>
        <w:t>术职务者及获得国家级科研教学奖等有突出贡献人员组成，并有一定比例</w:t>
      </w:r>
      <w:r>
        <w:rPr>
          <w:spacing w:val="-3"/>
        </w:rPr>
        <w:t>的青年教师</w:t>
      </w:r>
      <w:bookmarkStart w:id="0" w:name="_GoBack"/>
      <w:r>
        <w:rPr>
          <w:spacing w:val="-3"/>
        </w:rPr>
        <w:t>。</w:t>
      </w:r>
      <w:bookmarkEnd w:id="0"/>
      <w:r>
        <w:rPr>
          <w:spacing w:val="-1"/>
        </w:rPr>
        <w:t>学校可以根据需要聘请校外专家及有关方面代表，担任专门学术</w:t>
      </w:r>
      <w:r>
        <w:rPr>
          <w:spacing w:val="-2"/>
        </w:rPr>
        <w:t>事项</w:t>
      </w:r>
      <w:r>
        <w:rPr>
          <w:rFonts w:ascii="仿宋" w:hAnsi="仿宋" w:eastAsia="仿宋" w:cs="仿宋"/>
          <w:snapToGrid w:val="0"/>
          <w:color w:val="000000"/>
          <w:spacing w:val="-1"/>
          <w:kern w:val="0"/>
          <w:sz w:val="28"/>
          <w:szCs w:val="28"/>
          <w:lang w:val="en-US" w:eastAsia="en-US" w:bidi="ar-SA"/>
        </w:rPr>
        <w:t>的特邀委员。</w:t>
      </w:r>
    </w:p>
    <w:p w14:paraId="18611FF3">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firstLine="554" w:firstLineChars="200"/>
        <w:jc w:val="both"/>
        <w:textAlignment w:val="baseline"/>
        <w:outlineLvl w:val="1"/>
      </w:pPr>
      <w:r>
        <w:rPr>
          <w:b/>
          <w:bCs/>
          <w:spacing w:val="-2"/>
        </w:rPr>
        <w:t>第六条</w:t>
      </w:r>
      <w:r>
        <w:rPr>
          <w:spacing w:val="-2"/>
        </w:rPr>
        <w:t xml:space="preserve"> 学术委员会委员应当具备以下条件：</w:t>
      </w:r>
    </w:p>
    <w:p w14:paraId="3B9DB128">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firstLine="556" w:firstLineChars="200"/>
        <w:jc w:val="both"/>
        <w:textAlignment w:val="baseline"/>
      </w:pPr>
      <w:r>
        <w:rPr>
          <w:spacing w:val="-1"/>
        </w:rPr>
        <w:t>（一）坚决拥护中国共产党的领导</w:t>
      </w:r>
      <w:r>
        <w:rPr>
          <w:rFonts w:hint="eastAsia"/>
          <w:spacing w:val="-1"/>
          <w:lang w:eastAsia="zh-CN"/>
        </w:rPr>
        <w:t>，</w:t>
      </w:r>
      <w:r>
        <w:rPr>
          <w:spacing w:val="-1"/>
        </w:rPr>
        <w:t>拥护社会主义</w:t>
      </w:r>
      <w:r>
        <w:rPr>
          <w:rFonts w:hint="eastAsia"/>
          <w:spacing w:val="-1"/>
          <w:lang w:eastAsia="zh-CN"/>
        </w:rPr>
        <w:t>，</w:t>
      </w:r>
      <w:r>
        <w:rPr>
          <w:spacing w:val="-1"/>
        </w:rPr>
        <w:t>政治上能积极要求</w:t>
      </w:r>
      <w:r>
        <w:rPr>
          <w:spacing w:val="8"/>
        </w:rPr>
        <w:t>进步</w:t>
      </w:r>
      <w:r>
        <w:rPr>
          <w:rFonts w:hint="eastAsia"/>
          <w:spacing w:val="8"/>
          <w:lang w:eastAsia="zh-CN"/>
        </w:rPr>
        <w:t>，</w:t>
      </w:r>
      <w:r>
        <w:rPr>
          <w:spacing w:val="8"/>
        </w:rPr>
        <w:t>政治立场坚定</w:t>
      </w:r>
      <w:r>
        <w:rPr>
          <w:rFonts w:hint="eastAsia"/>
          <w:spacing w:val="8"/>
          <w:lang w:eastAsia="zh-CN"/>
        </w:rPr>
        <w:t>，</w:t>
      </w:r>
      <w:r>
        <w:rPr>
          <w:spacing w:val="8"/>
        </w:rPr>
        <w:t>政治思想稳定</w:t>
      </w:r>
      <w:r>
        <w:rPr>
          <w:rFonts w:hint="eastAsia"/>
          <w:spacing w:val="8"/>
          <w:lang w:eastAsia="zh-CN"/>
        </w:rPr>
        <w:t>，</w:t>
      </w:r>
      <w:r>
        <w:rPr>
          <w:spacing w:val="8"/>
        </w:rPr>
        <w:t>能自觉遵守国家的法律法规</w:t>
      </w:r>
      <w:r>
        <w:rPr>
          <w:rFonts w:hint="eastAsia"/>
          <w:spacing w:val="8"/>
          <w:lang w:eastAsia="zh-CN"/>
        </w:rPr>
        <w:t>，</w:t>
      </w:r>
      <w:r>
        <w:rPr>
          <w:spacing w:val="7"/>
        </w:rPr>
        <w:t>组织纪</w:t>
      </w:r>
      <w:r>
        <w:rPr>
          <w:spacing w:val="-1"/>
        </w:rPr>
        <w:t>律性较强、学风端正、治学严谨、公道正派；</w:t>
      </w:r>
    </w:p>
    <w:p w14:paraId="4B586E9B">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（二）学术造诣高，在本学科或者专业领域具有良好的学术声誉和公</w:t>
      </w:r>
      <w:r>
        <w:rPr>
          <w:spacing w:val="-3"/>
        </w:rPr>
        <w:t>认的学术成果；</w:t>
      </w:r>
    </w:p>
    <w:p w14:paraId="0E1B1F24">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72" w:firstLineChars="200"/>
        <w:jc w:val="both"/>
        <w:textAlignment w:val="baseline"/>
      </w:pPr>
      <w:r>
        <w:rPr>
          <w:spacing w:val="3"/>
        </w:rPr>
        <w:t>（三）关心学校建设和发展</w:t>
      </w:r>
      <w:r>
        <w:rPr>
          <w:rFonts w:hint="eastAsia"/>
          <w:spacing w:val="3"/>
          <w:lang w:eastAsia="zh-CN"/>
        </w:rPr>
        <w:t>，具</w:t>
      </w:r>
      <w:r>
        <w:rPr>
          <w:spacing w:val="3"/>
        </w:rPr>
        <w:t>有参与学术议事的</w:t>
      </w:r>
      <w:r>
        <w:rPr>
          <w:spacing w:val="2"/>
        </w:rPr>
        <w:t>意愿和能力，能够</w:t>
      </w:r>
      <w:r>
        <w:rPr>
          <w:spacing w:val="-4"/>
        </w:rPr>
        <w:t>正常履行职责；</w:t>
      </w:r>
    </w:p>
    <w:p w14:paraId="4A47D283">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2" w:firstLineChars="200"/>
        <w:jc w:val="both"/>
        <w:textAlignment w:val="baseline"/>
      </w:pPr>
      <w:r>
        <w:rPr>
          <w:spacing w:val="-2"/>
        </w:rPr>
        <w:t>（四）学校规定的其他条件。</w:t>
      </w:r>
    </w:p>
    <w:p w14:paraId="23B61C9E">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70" w:firstLineChars="200"/>
        <w:jc w:val="both"/>
        <w:textAlignment w:val="baseline"/>
      </w:pPr>
      <w:r>
        <w:rPr>
          <w:b/>
          <w:bCs/>
          <w:spacing w:val="2"/>
        </w:rPr>
        <w:t>第七条</w:t>
      </w:r>
      <w:r>
        <w:rPr>
          <w:spacing w:val="41"/>
        </w:rPr>
        <w:t xml:space="preserve"> </w:t>
      </w:r>
      <w:r>
        <w:rPr>
          <w:spacing w:val="2"/>
        </w:rPr>
        <w:t>学校根据学科、专业构成情况，合理确定院系（学部）的委</w:t>
      </w:r>
      <w:r>
        <w:rPr>
          <w:spacing w:val="-2"/>
        </w:rPr>
        <w:t>员名额，保证学术委员会的组成具有广泛的学科代表性和公平性。</w:t>
      </w:r>
    </w:p>
    <w:p w14:paraId="344F171D">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学术委员会委员的产生，经自下而上的民主推荐、公开公正的遴</w:t>
      </w:r>
      <w:r>
        <w:rPr>
          <w:spacing w:val="-2"/>
        </w:rPr>
        <w:t>选等</w:t>
      </w:r>
      <w:r>
        <w:rPr>
          <w:spacing w:val="-1"/>
        </w:rPr>
        <w:t>方式产生候选人，由民主选举等程序确定，充分反映基层学术组织和广大</w:t>
      </w:r>
      <w:r>
        <w:rPr>
          <w:spacing w:val="-3"/>
        </w:rPr>
        <w:t>教师的意见。</w:t>
      </w:r>
    </w:p>
    <w:p w14:paraId="63570CE6">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44" w:firstLineChars="200"/>
        <w:jc w:val="both"/>
        <w:textAlignment w:val="baseline"/>
      </w:pPr>
      <w:r>
        <w:rPr>
          <w:spacing w:val="-4"/>
        </w:rPr>
        <w:t>特邀委员由校长、学术委员会主任委员或者1/3以上学术委员会委员</w:t>
      </w:r>
      <w:r>
        <w:rPr>
          <w:spacing w:val="-2"/>
        </w:rPr>
        <w:t>提名，经学术委员会同意后确定。</w:t>
      </w:r>
    </w:p>
    <w:p w14:paraId="47D68A57">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0" w:firstLineChars="200"/>
        <w:jc w:val="both"/>
        <w:textAlignment w:val="baseline"/>
        <w:outlineLvl w:val="1"/>
      </w:pPr>
      <w:r>
        <w:rPr>
          <w:b/>
          <w:bCs/>
          <w:spacing w:val="-3"/>
        </w:rPr>
        <w:t>第八条</w:t>
      </w:r>
      <w:r>
        <w:rPr>
          <w:spacing w:val="-3"/>
        </w:rPr>
        <w:t xml:space="preserve"> 学术委员会委员由校长聘任。</w:t>
      </w:r>
    </w:p>
    <w:p w14:paraId="319CD7A9">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60" w:firstLineChars="200"/>
        <w:jc w:val="both"/>
        <w:textAlignment w:val="baseline"/>
        <w:rPr>
          <w:rFonts w:hint="default" w:eastAsia="仿宋"/>
          <w:lang w:val="en-US" w:eastAsia="zh-CN"/>
        </w:rPr>
      </w:pPr>
      <w:r>
        <w:t>学术委员会委员实行任期制，任期一般为4年，可连选连任，但连任</w:t>
      </w:r>
      <w:r>
        <w:rPr>
          <w:spacing w:val="3"/>
        </w:rPr>
        <w:t>最长不超过</w:t>
      </w:r>
      <w:r>
        <w:rPr>
          <w:rFonts w:hint="eastAsia"/>
          <w:spacing w:val="3"/>
          <w:lang w:val="en-US" w:eastAsia="zh-CN"/>
        </w:rPr>
        <w:t>2届。</w:t>
      </w:r>
    </w:p>
    <w:p w14:paraId="329B841C">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64" w:firstLineChars="200"/>
        <w:jc w:val="both"/>
        <w:textAlignment w:val="baseline"/>
      </w:pPr>
      <w:r>
        <w:rPr>
          <w:spacing w:val="1"/>
        </w:rPr>
        <w:t>学术委员会每次换届，连任的委员人数应不高于委员总数</w:t>
      </w:r>
      <w:r>
        <w:rPr>
          <w:rFonts w:hint="eastAsia"/>
          <w:spacing w:val="1"/>
          <w:lang w:val="en-US" w:eastAsia="zh-CN"/>
        </w:rPr>
        <w:t>的</w:t>
      </w:r>
      <w:r>
        <w:rPr>
          <w:spacing w:val="1"/>
        </w:rPr>
        <w:t>2/3。</w:t>
      </w:r>
    </w:p>
    <w:p w14:paraId="7A2EB84A">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62" w:firstLineChars="200"/>
        <w:jc w:val="both"/>
        <w:textAlignment w:val="baseline"/>
      </w:pPr>
      <w:r>
        <w:rPr>
          <w:b/>
          <w:bCs/>
        </w:rPr>
        <w:t>第九条</w:t>
      </w:r>
      <w:r>
        <w:rPr>
          <w:spacing w:val="42"/>
        </w:rPr>
        <w:t xml:space="preserve"> </w:t>
      </w:r>
      <w:r>
        <w:t>学术委员会设主任委员</w:t>
      </w:r>
      <w:r>
        <w:rPr>
          <w:rFonts w:hint="eastAsia"/>
          <w:spacing w:val="-35"/>
          <w:lang w:val="en-US" w:eastAsia="zh-CN"/>
        </w:rPr>
        <w:t>1名</w:t>
      </w:r>
      <w:r>
        <w:t>，设副主任委员若干名，</w:t>
      </w:r>
      <w:r>
        <w:rPr>
          <w:spacing w:val="-1"/>
        </w:rPr>
        <w:t>学术委</w:t>
      </w:r>
      <w:r>
        <w:rPr>
          <w:spacing w:val="-2"/>
        </w:rPr>
        <w:t>员会办公室主任</w:t>
      </w:r>
      <w:r>
        <w:rPr>
          <w:rFonts w:hint="eastAsia"/>
          <w:spacing w:val="-35"/>
          <w:lang w:val="en-US" w:eastAsia="zh-CN"/>
        </w:rPr>
        <w:t>1名</w:t>
      </w:r>
      <w:r>
        <w:rPr>
          <w:spacing w:val="-2"/>
        </w:rPr>
        <w:t>。主任委员</w:t>
      </w:r>
      <w:r>
        <w:rPr>
          <w:rFonts w:hint="eastAsia"/>
          <w:spacing w:val="-2"/>
          <w:lang w:eastAsia="zh-CN"/>
        </w:rPr>
        <w:t>可由</w:t>
      </w:r>
      <w:r>
        <w:rPr>
          <w:spacing w:val="-2"/>
        </w:rPr>
        <w:t>校长提名，全体委员选举产</w:t>
      </w:r>
      <w:r>
        <w:rPr>
          <w:spacing w:val="-3"/>
        </w:rPr>
        <w:t>生，并经学</w:t>
      </w:r>
      <w:r>
        <w:rPr>
          <w:spacing w:val="-1"/>
        </w:rPr>
        <w:t>校理事会批准；副主任委员和学术委员会办公室主任由主任委员提名，并</w:t>
      </w:r>
      <w:r>
        <w:rPr>
          <w:spacing w:val="-2"/>
        </w:rPr>
        <w:t>经学术委员会同意。</w:t>
      </w:r>
    </w:p>
    <w:p w14:paraId="1D092F65">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70" w:firstLineChars="200"/>
        <w:jc w:val="both"/>
        <w:textAlignment w:val="baseline"/>
      </w:pPr>
      <w:r>
        <w:rPr>
          <w:b/>
          <w:bCs/>
          <w:spacing w:val="2"/>
        </w:rPr>
        <w:t>第十条</w:t>
      </w:r>
      <w:r>
        <w:rPr>
          <w:spacing w:val="41"/>
        </w:rPr>
        <w:t xml:space="preserve"> </w:t>
      </w:r>
      <w:r>
        <w:rPr>
          <w:spacing w:val="2"/>
        </w:rPr>
        <w:t>学术委员会下设学科与学术评价专门委员会、教学指导专门</w:t>
      </w:r>
      <w:r>
        <w:rPr>
          <w:spacing w:val="-1"/>
        </w:rPr>
        <w:t>委员会、专业建设专门委员会、职称评定和聘任专门委员会、师德建设专</w:t>
      </w:r>
      <w:r>
        <w:rPr>
          <w:spacing w:val="-2"/>
        </w:rPr>
        <w:t>门委员会、学术道德与学风建设专门委员会六个专业专门委员会；并根据需要在二级学院设置学术分委员会。</w:t>
      </w:r>
    </w:p>
    <w:p w14:paraId="0E04EA28">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2" w:firstLine="596" w:firstLineChars="200"/>
        <w:jc w:val="both"/>
        <w:textAlignment w:val="baseline"/>
      </w:pPr>
      <w:r>
        <w:rPr>
          <w:spacing w:val="9"/>
        </w:rPr>
        <w:t>各专门委员会及学术分委会的组成及章程提交学术委员</w:t>
      </w:r>
      <w:r>
        <w:rPr>
          <w:spacing w:val="8"/>
        </w:rPr>
        <w:t>会会议讨论</w:t>
      </w:r>
      <w:r>
        <w:rPr>
          <w:spacing w:val="-3"/>
        </w:rPr>
        <w:t>批准，方可实施。</w:t>
      </w:r>
    </w:p>
    <w:p w14:paraId="39775AF4">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firstLine="556" w:firstLineChars="200"/>
        <w:jc w:val="both"/>
        <w:textAlignment w:val="baseline"/>
      </w:pPr>
      <w:r>
        <w:rPr>
          <w:spacing w:val="-1"/>
        </w:rPr>
        <w:t>各专门委员会和学术分委员会根据法律规定</w:t>
      </w:r>
      <w:r>
        <w:rPr>
          <w:rFonts w:hint="eastAsia"/>
          <w:spacing w:val="-1"/>
          <w:lang w:eastAsia="zh-CN"/>
        </w:rPr>
        <w:t>，按</w:t>
      </w:r>
      <w:r>
        <w:rPr>
          <w:spacing w:val="-1"/>
        </w:rPr>
        <w:t>学术委员会的授权及各自章程开展工作，并及时向学术委员会报告，接受学术委员会的指导和监</w:t>
      </w:r>
      <w:r>
        <w:rPr>
          <w:spacing w:val="-13"/>
        </w:rPr>
        <w:t>督。</w:t>
      </w:r>
    </w:p>
    <w:p w14:paraId="495CF067">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各专门委员会和学术分委会建立年度报告制度，对专门委员会和学术分委会的运行和履行的职责情况进行年度工作总结，并提交学术委员会审</w:t>
      </w:r>
      <w:r>
        <w:rPr>
          <w:spacing w:val="-4"/>
        </w:rPr>
        <w:t>议和评价。</w:t>
      </w:r>
    </w:p>
    <w:p w14:paraId="47E8A1FE">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学术委员会下设立办公室，办公室设在科研处，处理学术委员会</w:t>
      </w:r>
      <w:r>
        <w:rPr>
          <w:spacing w:val="-2"/>
        </w:rPr>
        <w:t>的日常事务；学术委员会的运行经费纳入学校预算安排。</w:t>
      </w:r>
    </w:p>
    <w:p w14:paraId="3D06DFF7">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70" w:firstLineChars="200"/>
        <w:jc w:val="both"/>
        <w:textAlignment w:val="baseline"/>
      </w:pPr>
      <w:r>
        <w:rPr>
          <w:b/>
          <w:bCs/>
          <w:spacing w:val="2"/>
        </w:rPr>
        <w:t>第十一条</w:t>
      </w:r>
      <w:r>
        <w:rPr>
          <w:spacing w:val="42"/>
        </w:rPr>
        <w:t xml:space="preserve"> </w:t>
      </w:r>
      <w:r>
        <w:rPr>
          <w:spacing w:val="2"/>
        </w:rPr>
        <w:t>学术委员会委员在任期内有下列情形，经学术委</w:t>
      </w:r>
      <w:r>
        <w:rPr>
          <w:spacing w:val="1"/>
        </w:rPr>
        <w:t>员会全体</w:t>
      </w:r>
      <w:r>
        <w:rPr>
          <w:spacing w:val="-2"/>
        </w:rPr>
        <w:t>会议讨论决定，可免除或同意其辞去委员职务：</w:t>
      </w:r>
    </w:p>
    <w:p w14:paraId="14022ED8">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2" w:firstLineChars="200"/>
        <w:jc w:val="both"/>
        <w:textAlignment w:val="baseline"/>
      </w:pPr>
      <w:r>
        <w:rPr>
          <w:spacing w:val="-2"/>
        </w:rPr>
        <w:t>（一）主动申请辞去委员职务的；</w:t>
      </w:r>
    </w:p>
    <w:p w14:paraId="2350DFB7">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（二）因身体、年龄及职务变动等原因不能履行职责的；</w:t>
      </w:r>
    </w:p>
    <w:p w14:paraId="58BFC261">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（三）怠于履行职责或者违反委员义务的；</w:t>
      </w:r>
    </w:p>
    <w:p w14:paraId="671E42D3">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（四）有违法、违反教师职业道德或者学术不端行为的；</w:t>
      </w:r>
    </w:p>
    <w:p w14:paraId="29100591">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firstLine="556" w:firstLineChars="200"/>
        <w:jc w:val="both"/>
        <w:textAlignment w:val="baseline"/>
      </w:pPr>
      <w:r>
        <w:rPr>
          <w:spacing w:val="-1"/>
        </w:rPr>
        <w:t>（五）因其他原因不能或不宜担任委员职务的。</w:t>
      </w:r>
    </w:p>
    <w:p w14:paraId="5ECC8CC5">
      <w:pPr>
        <w:pStyle w:val="2"/>
        <w:keepNext w:val="0"/>
        <w:keepLines w:val="0"/>
        <w:pageBreakBefore w:val="0"/>
        <w:kinsoku/>
        <w:wordWrap/>
        <w:topLinePunct w:val="0"/>
        <w:autoSpaceDE w:val="0"/>
        <w:autoSpaceDN w:val="0"/>
        <w:bidi w:val="0"/>
        <w:adjustRightInd w:val="0"/>
        <w:snapToGrid w:val="0"/>
        <w:spacing w:before="158" w:line="228" w:lineRule="auto"/>
        <w:jc w:val="center"/>
        <w:textAlignment w:val="baseline"/>
        <w:outlineLvl w:val="0"/>
        <w:rPr>
          <w:sz w:val="31"/>
          <w:szCs w:val="31"/>
        </w:rPr>
      </w:pPr>
      <w:r>
        <w:rPr>
          <w:b/>
          <w:bCs/>
          <w:spacing w:val="-1"/>
          <w:sz w:val="31"/>
          <w:szCs w:val="31"/>
        </w:rPr>
        <w:t>第三章</w:t>
      </w:r>
      <w:r>
        <w:rPr>
          <w:spacing w:val="30"/>
          <w:sz w:val="31"/>
          <w:szCs w:val="31"/>
        </w:rPr>
        <w:t xml:space="preserve"> </w:t>
      </w:r>
      <w:r>
        <w:rPr>
          <w:b/>
          <w:bCs/>
          <w:spacing w:val="-1"/>
          <w:sz w:val="31"/>
          <w:szCs w:val="31"/>
        </w:rPr>
        <w:t>职责权限</w:t>
      </w:r>
    </w:p>
    <w:p w14:paraId="4AC7211A">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4" w:firstLineChars="200"/>
        <w:jc w:val="both"/>
        <w:textAlignment w:val="baseline"/>
        <w:outlineLvl w:val="1"/>
      </w:pPr>
      <w:r>
        <w:rPr>
          <w:b/>
          <w:bCs/>
          <w:spacing w:val="-2"/>
        </w:rPr>
        <w:t>第十二条</w:t>
      </w:r>
      <w:r>
        <w:rPr>
          <w:spacing w:val="-2"/>
        </w:rPr>
        <w:t xml:space="preserve"> 学术委员会委员享有以下权利：</w:t>
      </w:r>
    </w:p>
    <w:p w14:paraId="796F817B">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（一）知悉与学术事务相关的学校各项管理制度、信息等；</w:t>
      </w:r>
    </w:p>
    <w:p w14:paraId="21728ECE">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（二）就学术事务向学校相关职能部门提出咨询或质询；</w:t>
      </w:r>
    </w:p>
    <w:p w14:paraId="2C19F111">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（三）在学术委员会会议中自由、独立地发表意见，讨论、审议和表</w:t>
      </w:r>
      <w:r>
        <w:rPr>
          <w:spacing w:val="-3"/>
        </w:rPr>
        <w:t>决各项决议；</w:t>
      </w:r>
    </w:p>
    <w:p w14:paraId="27430213">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（四）对学校学术事务及学术委员会工作提出建议、实施监督；</w:t>
      </w:r>
    </w:p>
    <w:p w14:paraId="2D06FAB7">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（五）学校章程或者学术委员会章程规定的其他权利。特邀委员根据学校的规定，享有相应权利。</w:t>
      </w:r>
    </w:p>
    <w:p w14:paraId="08D5F050">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4" w:firstLineChars="200"/>
        <w:jc w:val="both"/>
        <w:textAlignment w:val="baseline"/>
        <w:outlineLvl w:val="1"/>
      </w:pPr>
      <w:r>
        <w:rPr>
          <w:b/>
          <w:bCs/>
          <w:spacing w:val="-2"/>
        </w:rPr>
        <w:t>第十三条</w:t>
      </w:r>
      <w:r>
        <w:rPr>
          <w:spacing w:val="-2"/>
        </w:rPr>
        <w:t xml:space="preserve"> 学术委员会委员须履行以下义务：</w:t>
      </w:r>
    </w:p>
    <w:p w14:paraId="67493C00">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48" w:firstLineChars="200"/>
        <w:jc w:val="both"/>
        <w:textAlignment w:val="baseline"/>
      </w:pPr>
      <w:r>
        <w:rPr>
          <w:spacing w:val="-3"/>
        </w:rPr>
        <w:t>（一）遵守国家宪法、法律和法规，遵守学术规范、恪守学术道德；</w:t>
      </w:r>
    </w:p>
    <w:p w14:paraId="686B3404">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56" w:firstLineChars="200"/>
        <w:jc w:val="both"/>
        <w:textAlignment w:val="baseline"/>
      </w:pPr>
      <w:r>
        <w:rPr>
          <w:spacing w:val="-1"/>
        </w:rPr>
        <w:t>（二）遵守学术委员会章程，坚守学术专业判断，公正履行职责；</w:t>
      </w:r>
    </w:p>
    <w:p w14:paraId="461D8135">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56" w:firstLineChars="200"/>
        <w:jc w:val="both"/>
        <w:textAlignment w:val="baseline"/>
      </w:pPr>
      <w:r>
        <w:rPr>
          <w:spacing w:val="-1"/>
        </w:rPr>
        <w:t>（三）勤勉尽职，积极参加学术委员会会议及有关活动；</w:t>
      </w:r>
    </w:p>
    <w:p w14:paraId="185DAE39">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56" w:firstLineChars="200"/>
        <w:jc w:val="both"/>
        <w:textAlignment w:val="baseline"/>
      </w:pPr>
      <w:r>
        <w:rPr>
          <w:spacing w:val="-1"/>
        </w:rPr>
        <w:t>（四）学校章程或者学术委员会章程规定的其他义务。</w:t>
      </w:r>
    </w:p>
    <w:p w14:paraId="66BAD642">
      <w:pPr>
        <w:pStyle w:val="2"/>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第十四条</w:t>
      </w:r>
      <w:r>
        <w:rPr>
          <w:spacing w:val="42"/>
        </w:rPr>
        <w:t xml:space="preserve"> </w:t>
      </w:r>
      <w:r>
        <w:rPr>
          <w:spacing w:val="2"/>
        </w:rPr>
        <w:t>学校下列事务决策前，应当提交学术委员会审议</w:t>
      </w:r>
      <w:r>
        <w:rPr>
          <w:spacing w:val="1"/>
        </w:rPr>
        <w:t>，或者交</w:t>
      </w:r>
      <w:r>
        <w:rPr>
          <w:spacing w:val="-4"/>
        </w:rPr>
        <w:t>由学术委员会审议并直接做出决定：</w:t>
      </w:r>
    </w:p>
    <w:p w14:paraId="0E6AB1E2">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（一）学科、专业及教师队伍建设规划，以及科学研究、对外学术交</w:t>
      </w:r>
      <w:r>
        <w:rPr>
          <w:spacing w:val="-2"/>
        </w:rPr>
        <w:t>流合作等重大学术规划；</w:t>
      </w:r>
    </w:p>
    <w:p w14:paraId="3F187C7A">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36" w:firstLineChars="200"/>
        <w:jc w:val="both"/>
        <w:textAlignment w:val="baseline"/>
      </w:pPr>
      <w:r>
        <w:rPr>
          <w:spacing w:val="-6"/>
        </w:rPr>
        <w:t>（二）</w:t>
      </w:r>
      <w:r>
        <w:rPr>
          <w:spacing w:val="-64"/>
        </w:rPr>
        <w:t xml:space="preserve"> </w:t>
      </w:r>
      <w:r>
        <w:rPr>
          <w:spacing w:val="-6"/>
        </w:rPr>
        <w:t>自主设置或者申请设置专业；</w:t>
      </w:r>
    </w:p>
    <w:p w14:paraId="29D91EB9">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（三）学术机构设置方案，跨专业协同创新机制的建设方案、专业资</w:t>
      </w:r>
      <w:r>
        <w:rPr>
          <w:spacing w:val="-4"/>
        </w:rPr>
        <w:t>源的配置方案；</w:t>
      </w:r>
    </w:p>
    <w:p w14:paraId="61AC21F9">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（四）学校认为需要提交审议的其他学术事务。</w:t>
      </w:r>
    </w:p>
    <w:p w14:paraId="1B4A1B81">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第十五条</w:t>
      </w:r>
      <w:r>
        <w:rPr>
          <w:spacing w:val="42"/>
        </w:rPr>
        <w:t xml:space="preserve"> </w:t>
      </w:r>
      <w:r>
        <w:rPr>
          <w:spacing w:val="2"/>
        </w:rPr>
        <w:t>学校涉及对学术水平做出评价的事项，应当由学</w:t>
      </w:r>
      <w:r>
        <w:rPr>
          <w:spacing w:val="1"/>
        </w:rPr>
        <w:t>术委员会</w:t>
      </w:r>
      <w:r>
        <w:rPr>
          <w:spacing w:val="-4"/>
        </w:rPr>
        <w:t>进行评定：</w:t>
      </w:r>
    </w:p>
    <w:p w14:paraId="6F522196">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62" w:firstLineChars="200"/>
        <w:jc w:val="both"/>
        <w:textAlignment w:val="baseline"/>
      </w:pPr>
      <w:r>
        <w:rPr>
          <w:b/>
          <w:bCs/>
        </w:rPr>
        <w:t>第十六条</w:t>
      </w:r>
      <w:r>
        <w:rPr>
          <w:spacing w:val="42"/>
        </w:rPr>
        <w:t xml:space="preserve"> </w:t>
      </w:r>
      <w:r>
        <w:t>学校做出下列决策前，应当通报学术委员会</w:t>
      </w:r>
      <w:r>
        <w:rPr>
          <w:spacing w:val="-1"/>
        </w:rPr>
        <w:t>，</w:t>
      </w:r>
      <w:r>
        <w:rPr>
          <w:spacing w:val="-80"/>
        </w:rPr>
        <w:t xml:space="preserve"> </w:t>
      </w:r>
      <w:r>
        <w:rPr>
          <w:spacing w:val="-1"/>
        </w:rPr>
        <w:t>由学术委员</w:t>
      </w:r>
      <w:r>
        <w:rPr>
          <w:spacing w:val="-4"/>
        </w:rPr>
        <w:t>会提出咨询意见：</w:t>
      </w:r>
    </w:p>
    <w:p w14:paraId="7D23E36A">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（一）制订与学术事务相关的全局性、重大发展规划和发展战略；</w:t>
      </w:r>
    </w:p>
    <w:p w14:paraId="1B1DA9B4">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（二）学校预算决算中科研经费的安排和分配及使用；</w:t>
      </w:r>
    </w:p>
    <w:p w14:paraId="080FAACC">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（三）科研重大项目的申报及资金的分配使用；</w:t>
      </w:r>
    </w:p>
    <w:p w14:paraId="587EF3E1">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（四）开展中外合作办学、赴境外办学，对外开展重大项目合作；</w:t>
      </w:r>
    </w:p>
    <w:p w14:paraId="3FF7AEA8">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（五）学校认为需要听取学术委员会意见的其他事项。</w:t>
      </w:r>
    </w:p>
    <w:p w14:paraId="1DFC147C">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学术委员会对上述事项提出明确不同意见的，学校应当做出说明</w:t>
      </w:r>
      <w:r>
        <w:rPr>
          <w:spacing w:val="-2"/>
        </w:rPr>
        <w:t>、重新协商研究或者暂缓执行。</w:t>
      </w:r>
    </w:p>
    <w:p w14:paraId="5C736145">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第十七条</w:t>
      </w:r>
      <w:r>
        <w:rPr>
          <w:spacing w:val="42"/>
        </w:rPr>
        <w:t xml:space="preserve"> </w:t>
      </w:r>
      <w:r>
        <w:rPr>
          <w:spacing w:val="2"/>
        </w:rPr>
        <w:t>学术委员会按照有关规定及学校委托，受理有关</w:t>
      </w:r>
      <w:r>
        <w:rPr>
          <w:spacing w:val="1"/>
        </w:rPr>
        <w:t>学术不端</w:t>
      </w:r>
      <w:r>
        <w:rPr>
          <w:spacing w:val="-2"/>
        </w:rPr>
        <w:t>行为的举报并进行调查，裁决学术纠纷。</w:t>
      </w:r>
      <w:r>
        <w:rPr>
          <w:spacing w:val="-1"/>
        </w:rPr>
        <w:t>学术委员会调查学术不端行为、裁决学术纠纷，应当组织具有权</w:t>
      </w:r>
      <w:r>
        <w:rPr>
          <w:spacing w:val="-2"/>
        </w:rPr>
        <w:t>威性</w:t>
      </w:r>
      <w:r>
        <w:rPr>
          <w:spacing w:val="-6"/>
        </w:rPr>
        <w:t>和中立性的专家组，从学术角度独立调查取证，客观公正地进行调查认定。</w:t>
      </w:r>
      <w:r>
        <w:rPr>
          <w:spacing w:val="-1"/>
        </w:rPr>
        <w:t>专家组的认定结论，当事人有异议的，学术委员会应当组织复议，必要的</w:t>
      </w:r>
      <w:r>
        <w:rPr>
          <w:spacing w:val="-3"/>
        </w:rPr>
        <w:t>可以举行听证。</w:t>
      </w:r>
    </w:p>
    <w:p w14:paraId="4FFBF240">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对违反学术道德的行为，学术委员会可以依职权直接撤销或者建议相</w:t>
      </w:r>
      <w:r>
        <w:rPr>
          <w:spacing w:val="3"/>
        </w:rPr>
        <w:t>关部门撤销当事人相应的学术称号、学术待遇，并可以同时向学校、相</w:t>
      </w:r>
      <w:r>
        <w:rPr>
          <w:spacing w:val="-3"/>
        </w:rPr>
        <w:t>关部门提出处理建议。</w:t>
      </w:r>
    </w:p>
    <w:p w14:paraId="3CEE177C">
      <w:pPr>
        <w:pStyle w:val="2"/>
        <w:keepNext w:val="0"/>
        <w:keepLines w:val="0"/>
        <w:pageBreakBefore w:val="0"/>
        <w:kinsoku/>
        <w:wordWrap/>
        <w:topLinePunct w:val="0"/>
        <w:autoSpaceDE w:val="0"/>
        <w:autoSpaceDN w:val="0"/>
        <w:bidi w:val="0"/>
        <w:adjustRightInd w:val="0"/>
        <w:snapToGrid w:val="0"/>
        <w:spacing w:before="14" w:line="226" w:lineRule="auto"/>
        <w:jc w:val="center"/>
        <w:textAlignment w:val="baseline"/>
        <w:outlineLvl w:val="0"/>
        <w:rPr>
          <w:sz w:val="31"/>
          <w:szCs w:val="31"/>
        </w:rPr>
      </w:pPr>
      <w:r>
        <w:rPr>
          <w:b/>
          <w:bCs/>
          <w:spacing w:val="-1"/>
          <w:sz w:val="31"/>
          <w:szCs w:val="31"/>
        </w:rPr>
        <w:t>第四章</w:t>
      </w:r>
      <w:r>
        <w:rPr>
          <w:spacing w:val="32"/>
          <w:sz w:val="31"/>
          <w:szCs w:val="31"/>
        </w:rPr>
        <w:t xml:space="preserve"> </w:t>
      </w:r>
      <w:r>
        <w:rPr>
          <w:b/>
          <w:bCs/>
          <w:spacing w:val="-1"/>
          <w:sz w:val="31"/>
          <w:szCs w:val="31"/>
        </w:rPr>
        <w:t>运行制度</w:t>
      </w:r>
    </w:p>
    <w:p w14:paraId="53CCF421">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62" w:firstLineChars="200"/>
        <w:jc w:val="both"/>
        <w:textAlignment w:val="baseline"/>
      </w:pPr>
      <w:r>
        <w:rPr>
          <w:b/>
          <w:bCs/>
        </w:rPr>
        <w:t>第十八条</w:t>
      </w:r>
      <w:r>
        <w:rPr>
          <w:spacing w:val="42"/>
        </w:rPr>
        <w:t xml:space="preserve"> </w:t>
      </w:r>
      <w:r>
        <w:t>学术委员会实行例会制度，每年定期召开</w:t>
      </w:r>
      <w:r>
        <w:rPr>
          <w:rFonts w:hint="eastAsia"/>
          <w:lang w:val="en-US" w:eastAsia="zh-CN"/>
        </w:rPr>
        <w:t>1</w:t>
      </w:r>
      <w:r>
        <w:t>次全体会</w:t>
      </w:r>
      <w:r>
        <w:rPr>
          <w:spacing w:val="-1"/>
        </w:rPr>
        <w:t>议。</w:t>
      </w:r>
      <w:r>
        <w:rPr>
          <w:spacing w:val="-4"/>
        </w:rPr>
        <w:t>根据工作需要，经学术委员会主任委员或者校长提议，或者</w:t>
      </w:r>
      <w:r>
        <w:rPr>
          <w:rFonts w:hint="eastAsia"/>
          <w:lang w:val="en-US" w:eastAsia="zh-CN"/>
        </w:rPr>
        <w:t>1</w:t>
      </w:r>
      <w:r>
        <w:t>/3</w:t>
      </w:r>
      <w:r>
        <w:rPr>
          <w:spacing w:val="-4"/>
        </w:rPr>
        <w:t>以上委员</w:t>
      </w:r>
      <w:r>
        <w:rPr>
          <w:spacing w:val="-1"/>
        </w:rPr>
        <w:t>联名提议，可以临时召开学术委员会全体会议，商讨、决定相关事项。</w:t>
      </w:r>
    </w:p>
    <w:p w14:paraId="61205B8E">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第十九条</w:t>
      </w:r>
      <w:r>
        <w:rPr>
          <w:spacing w:val="42"/>
        </w:rPr>
        <w:t xml:space="preserve"> </w:t>
      </w:r>
      <w:r>
        <w:rPr>
          <w:spacing w:val="2"/>
        </w:rPr>
        <w:t>学术委员会主任委员负责召集和主持学术委员会</w:t>
      </w:r>
      <w:r>
        <w:rPr>
          <w:spacing w:val="1"/>
        </w:rPr>
        <w:t>会议，必</w:t>
      </w:r>
      <w:r>
        <w:rPr>
          <w:spacing w:val="-1"/>
        </w:rPr>
        <w:t>要时，可以委托副主任委员召集和主持会议。学术委员会委员全体会议应</w:t>
      </w:r>
      <w:r>
        <w:rPr>
          <w:spacing w:val="-7"/>
        </w:rPr>
        <w:t>有</w:t>
      </w:r>
      <w:r>
        <w:rPr>
          <w:spacing w:val="-44"/>
        </w:rPr>
        <w:t xml:space="preserve"> </w:t>
      </w:r>
      <w:r>
        <w:rPr>
          <w:spacing w:val="-7"/>
        </w:rPr>
        <w:t>2/3以上委员出席方可举行。</w:t>
      </w:r>
    </w:p>
    <w:p w14:paraId="007177D5">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2" w:firstLineChars="200"/>
        <w:jc w:val="both"/>
        <w:textAlignment w:val="baseline"/>
      </w:pPr>
      <w:r>
        <w:rPr>
          <w:spacing w:val="-2"/>
        </w:rPr>
        <w:t>学术委员会全体会议应当提前确定议题并通知与会委员。经与会</w:t>
      </w:r>
      <w:r>
        <w:rPr>
          <w:rFonts w:hint="eastAsia"/>
          <w:lang w:val="en-US" w:eastAsia="zh-CN"/>
        </w:rPr>
        <w:t>1</w:t>
      </w:r>
      <w:r>
        <w:t>/3</w:t>
      </w:r>
      <w:r>
        <w:rPr>
          <w:spacing w:val="-3"/>
        </w:rPr>
        <w:t>以上委员同意，可以临时增加议题。</w:t>
      </w:r>
    </w:p>
    <w:p w14:paraId="36BBBC10">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第二十条</w:t>
      </w:r>
      <w:r>
        <w:rPr>
          <w:spacing w:val="42"/>
        </w:rPr>
        <w:t xml:space="preserve"> </w:t>
      </w:r>
      <w:r>
        <w:rPr>
          <w:spacing w:val="2"/>
        </w:rPr>
        <w:t>学术委员会议事决策实行少数服从多数的原则，</w:t>
      </w:r>
      <w:r>
        <w:rPr>
          <w:spacing w:val="1"/>
        </w:rPr>
        <w:t>重大事项</w:t>
      </w:r>
      <w:r>
        <w:t>应当以与会委员的2/3以上同意，方可通过。</w:t>
      </w:r>
    </w:p>
    <w:p w14:paraId="48504F28">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学术委员会会议审议决定或者评定的事项，一般应当以无记名投</w:t>
      </w:r>
      <w:r>
        <w:rPr>
          <w:spacing w:val="-2"/>
        </w:rPr>
        <w:t>票方</w:t>
      </w:r>
      <w:r>
        <w:rPr>
          <w:spacing w:val="-1"/>
        </w:rPr>
        <w:t>式做出决定；也可以根据事项性质，采取实名投票方</w:t>
      </w:r>
      <w:r>
        <w:rPr>
          <w:spacing w:val="-2"/>
        </w:rPr>
        <w:t>式。</w:t>
      </w:r>
    </w:p>
    <w:p w14:paraId="333767A0">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2" w:firstLineChars="200"/>
        <w:jc w:val="both"/>
        <w:textAlignment w:val="baseline"/>
      </w:pPr>
      <w:r>
        <w:rPr>
          <w:spacing w:val="-2"/>
        </w:rPr>
        <w:t>学术委</w:t>
      </w:r>
      <w:r>
        <w:rPr>
          <w:rFonts w:hint="eastAsia"/>
          <w:spacing w:val="-2"/>
          <w:lang w:eastAsia="zh-CN"/>
        </w:rPr>
        <w:t>员会</w:t>
      </w:r>
      <w:r>
        <w:rPr>
          <w:spacing w:val="-2"/>
        </w:rPr>
        <w:t>应遵守议事规则，承担相应的保密义务。</w:t>
      </w:r>
    </w:p>
    <w:p w14:paraId="59E472BC">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92" w:firstLineChars="200"/>
        <w:jc w:val="both"/>
        <w:textAlignment w:val="baseline"/>
      </w:pPr>
      <w:r>
        <w:rPr>
          <w:spacing w:val="8"/>
        </w:rPr>
        <w:t>学术委员会审议或者评定的事项与委员本人及其配偶和直系亲属有</w:t>
      </w:r>
      <w:r>
        <w:rPr>
          <w:spacing w:val="-2"/>
        </w:rPr>
        <w:t>关，或者具有利益关联的，相关委员应当回避。</w:t>
      </w:r>
    </w:p>
    <w:p w14:paraId="638103DD">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第二十一条</w:t>
      </w:r>
      <w:r>
        <w:rPr>
          <w:spacing w:val="39"/>
        </w:rPr>
        <w:t xml:space="preserve"> </w:t>
      </w:r>
      <w:r>
        <w:rPr>
          <w:spacing w:val="2"/>
        </w:rPr>
        <w:t>学术委员会会议可以根据议题，设立旁听</w:t>
      </w:r>
      <w:r>
        <w:rPr>
          <w:spacing w:val="1"/>
        </w:rPr>
        <w:t>席，允许相关</w:t>
      </w:r>
      <w:r>
        <w:rPr>
          <w:spacing w:val="-2"/>
        </w:rPr>
        <w:t>学校职能部门、教师及学生代表列席旁听。</w:t>
      </w:r>
    </w:p>
    <w:p w14:paraId="451155D3">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学术委员会做出的决定应当予以公示，并设置异议期。在异议期</w:t>
      </w:r>
      <w:r>
        <w:rPr>
          <w:spacing w:val="-2"/>
        </w:rPr>
        <w:t>内如</w:t>
      </w:r>
      <w:r>
        <w:rPr>
          <w:spacing w:val="-4"/>
        </w:rPr>
        <w:t>有异议，经</w:t>
      </w:r>
      <w:r>
        <w:rPr>
          <w:rFonts w:hint="eastAsia"/>
          <w:lang w:val="en-US" w:eastAsia="zh-CN"/>
        </w:rPr>
        <w:t>1</w:t>
      </w:r>
      <w:r>
        <w:t>/3</w:t>
      </w:r>
      <w:r>
        <w:rPr>
          <w:spacing w:val="-4"/>
        </w:rPr>
        <w:t>以上委员同意，可召开全体会议复议。经复议的决定为终</w:t>
      </w:r>
      <w:r>
        <w:rPr>
          <w:spacing w:val="-6"/>
        </w:rPr>
        <w:t>局结论。</w:t>
      </w:r>
    </w:p>
    <w:p w14:paraId="6259DF89">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70" w:firstLineChars="200"/>
        <w:jc w:val="both"/>
        <w:textAlignment w:val="baseline"/>
      </w:pPr>
      <w:r>
        <w:rPr>
          <w:b/>
          <w:bCs/>
          <w:spacing w:val="2"/>
        </w:rPr>
        <w:t>第二十二条</w:t>
      </w:r>
      <w:r>
        <w:rPr>
          <w:spacing w:val="39"/>
        </w:rPr>
        <w:t xml:space="preserve"> </w:t>
      </w:r>
      <w:r>
        <w:rPr>
          <w:spacing w:val="2"/>
        </w:rPr>
        <w:t>学术委员会应当建立年度报告制度，每</w:t>
      </w:r>
      <w:r>
        <w:rPr>
          <w:rFonts w:hint="eastAsia"/>
          <w:spacing w:val="2"/>
          <w:lang w:eastAsia="zh-CN"/>
        </w:rPr>
        <w:t>年</w:t>
      </w:r>
      <w:r>
        <w:rPr>
          <w:spacing w:val="1"/>
        </w:rPr>
        <w:t>对学校整体</w:t>
      </w:r>
      <w:r>
        <w:rPr>
          <w:spacing w:val="-7"/>
        </w:rPr>
        <w:t>的学术水平、专业发展、人才培养质量等进行全面评价，提出意见、建议；</w:t>
      </w:r>
      <w:r>
        <w:rPr>
          <w:spacing w:val="-1"/>
        </w:rPr>
        <w:t>对学术委员会的运行及履行职责的情况进行总结。</w:t>
      </w:r>
    </w:p>
    <w:p w14:paraId="69BF3D7F">
      <w:pPr>
        <w:pStyle w:val="2"/>
        <w:keepNext w:val="0"/>
        <w:keepLines w:val="0"/>
        <w:pageBreakBefore w:val="0"/>
        <w:widowControl/>
        <w:kinsoku/>
        <w:wordWrap/>
        <w:overflowPunct/>
        <w:topLinePunct w:val="0"/>
        <w:autoSpaceDE w:val="0"/>
        <w:autoSpaceDN w:val="0"/>
        <w:bidi w:val="0"/>
        <w:adjustRightInd w:val="0"/>
        <w:snapToGrid w:val="0"/>
        <w:spacing w:line="480" w:lineRule="exact"/>
        <w:ind w:left="0" w:right="0" w:firstLine="556" w:firstLineChars="200"/>
        <w:jc w:val="both"/>
        <w:textAlignment w:val="baseline"/>
      </w:pPr>
      <w:r>
        <w:rPr>
          <w:spacing w:val="-1"/>
        </w:rPr>
        <w:t>学术委员会年度报告应提交教职工代表大会审议，有关意见、建</w:t>
      </w:r>
      <w:r>
        <w:rPr>
          <w:spacing w:val="-2"/>
        </w:rPr>
        <w:t>议的采纳情况，校长应当做出说明。</w:t>
      </w:r>
    </w:p>
    <w:p w14:paraId="75BF80E3">
      <w:pPr>
        <w:pStyle w:val="2"/>
        <w:keepNext w:val="0"/>
        <w:keepLines w:val="0"/>
        <w:pageBreakBefore w:val="0"/>
        <w:kinsoku/>
        <w:wordWrap/>
        <w:topLinePunct w:val="0"/>
        <w:autoSpaceDE w:val="0"/>
        <w:autoSpaceDN w:val="0"/>
        <w:bidi w:val="0"/>
        <w:adjustRightInd w:val="0"/>
        <w:snapToGrid w:val="0"/>
        <w:spacing w:before="13" w:line="228" w:lineRule="auto"/>
        <w:jc w:val="center"/>
        <w:textAlignment w:val="baseline"/>
        <w:outlineLvl w:val="0"/>
        <w:rPr>
          <w:sz w:val="31"/>
          <w:szCs w:val="31"/>
        </w:rPr>
      </w:pPr>
      <w:r>
        <w:rPr>
          <w:b/>
          <w:bCs/>
          <w:spacing w:val="-9"/>
          <w:sz w:val="31"/>
          <w:szCs w:val="31"/>
        </w:rPr>
        <w:t>第五章</w:t>
      </w:r>
      <w:r>
        <w:rPr>
          <w:spacing w:val="40"/>
          <w:sz w:val="31"/>
          <w:szCs w:val="31"/>
        </w:rPr>
        <w:t xml:space="preserve"> </w:t>
      </w:r>
      <w:r>
        <w:rPr>
          <w:b/>
          <w:bCs/>
          <w:spacing w:val="-9"/>
          <w:sz w:val="31"/>
          <w:szCs w:val="31"/>
        </w:rPr>
        <w:t>附</w:t>
      </w:r>
      <w:r>
        <w:rPr>
          <w:spacing w:val="33"/>
          <w:sz w:val="31"/>
          <w:szCs w:val="31"/>
        </w:rPr>
        <w:t xml:space="preserve"> </w:t>
      </w:r>
      <w:r>
        <w:rPr>
          <w:b/>
          <w:bCs/>
          <w:spacing w:val="-9"/>
          <w:sz w:val="31"/>
          <w:szCs w:val="31"/>
        </w:rPr>
        <w:t>则</w:t>
      </w:r>
    </w:p>
    <w:p w14:paraId="72390A64">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50" w:firstLineChars="200"/>
        <w:jc w:val="both"/>
        <w:textAlignment w:val="baseline"/>
        <w:outlineLvl w:val="1"/>
      </w:pPr>
      <w:r>
        <w:rPr>
          <w:b/>
          <w:bCs/>
          <w:spacing w:val="-3"/>
        </w:rPr>
        <w:t>第二十三条</w:t>
      </w:r>
      <w:r>
        <w:rPr>
          <w:spacing w:val="-3"/>
        </w:rPr>
        <w:t xml:space="preserve"> 本章程自发</w:t>
      </w:r>
      <w:r>
        <w:rPr>
          <w:rFonts w:hint="eastAsia"/>
          <w:spacing w:val="-3"/>
          <w:lang w:eastAsia="zh-CN"/>
        </w:rPr>
        <w:t>布之</w:t>
      </w:r>
      <w:r>
        <w:rPr>
          <w:spacing w:val="-3"/>
        </w:rPr>
        <w:t>日起施行。</w:t>
      </w:r>
    </w:p>
    <w:p w14:paraId="4AB9BE0B">
      <w:pPr>
        <w:pStyle w:val="2"/>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56" w:firstLineChars="200"/>
        <w:jc w:val="both"/>
        <w:textAlignment w:val="baseline"/>
      </w:pPr>
      <w:r>
        <w:rPr>
          <w:spacing w:val="-1"/>
        </w:rPr>
        <w:t>学校此前发布的有关规章、文件中的相关规定与本章程不一致的</w:t>
      </w:r>
      <w:r>
        <w:rPr>
          <w:spacing w:val="-2"/>
        </w:rPr>
        <w:t>，以</w:t>
      </w:r>
      <w:r>
        <w:rPr>
          <w:spacing w:val="-3"/>
        </w:rPr>
        <w:t>本章程为准。</w:t>
      </w:r>
    </w:p>
    <w:sectPr>
      <w:footerReference r:id="rId5" w:type="default"/>
      <w:pgSz w:w="11906" w:h="16838"/>
      <w:pgMar w:top="1440" w:right="1701" w:bottom="1440" w:left="170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B1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420E2">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D420E2">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37492"/>
    <w:rsid w:val="09CB743E"/>
    <w:rsid w:val="2A87155C"/>
    <w:rsid w:val="6055781B"/>
    <w:rsid w:val="65264370"/>
    <w:rsid w:val="67D3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3295</Words>
  <Characters>3309</Characters>
  <Lines>0</Lines>
  <Paragraphs>0</Paragraphs>
  <TotalTime>76</TotalTime>
  <ScaleCrop>false</ScaleCrop>
  <LinksUpToDate>false</LinksUpToDate>
  <CharactersWithSpaces>3346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2025-10-30T03:19:00Z</dcterms:created>
  <dc:creator>李国辉</dc:creator>
  <cp:lastModifiedBy>北极星</cp:lastModifiedBy>
  <dcterms:modified xsi:type="dcterms:W3CDTF">2025-10-30T05:21:01Z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24FF36F74B5D4313A31D21EC2D7542F7_11</vt:lpwstr>
  </property>
  <property fmtid="{D5CDD505-2E9C-101B-9397-08002B2CF9AE}" pid="4" name="KSOTemplateDocerSaveRecord">
    <vt:lpwstr>eyJoZGlkIjoiMzY3MmY0MmM2M2FkNTQyZjY1NTBiZTE4NDc5NGMwOGMiLCJ1c2VySWQiOiIyMjE4MzE0NDMifQ==</vt:lpwstr>
  </property>
</Properties>
</file>