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929AE">
      <w:pPr>
        <w:bidi w:val="0"/>
        <w:jc w:val="center"/>
        <w:rPr>
          <w:rFonts w:hint="eastAsia" w:asciiTheme="minorEastAsia" w:hAnsiTheme="minorEastAsia" w:eastAsiaTheme="minorEastAsia" w:cstheme="minorEastAsia"/>
          <w:b/>
          <w:bCs/>
          <w:color w:val="auto"/>
          <w:sz w:val="32"/>
          <w:szCs w:val="32"/>
          <w:highlight w:val="none"/>
        </w:rPr>
      </w:pPr>
      <w:bookmarkStart w:id="0" w:name="_Toc9097"/>
      <w:r>
        <w:rPr>
          <w:rFonts w:hint="eastAsia" w:asciiTheme="minorEastAsia" w:hAnsiTheme="minorEastAsia" w:cstheme="minorEastAsia"/>
          <w:b/>
          <w:bCs/>
          <w:color w:val="auto"/>
          <w:spacing w:val="4"/>
          <w:sz w:val="32"/>
          <w:szCs w:val="32"/>
          <w:highlight w:val="none"/>
          <w:lang w:val="en-US" w:eastAsia="zh-CN"/>
        </w:rPr>
        <w:t>财</w:t>
      </w:r>
      <w:r>
        <w:rPr>
          <w:rFonts w:hint="eastAsia" w:asciiTheme="minorEastAsia" w:hAnsiTheme="minorEastAsia" w:eastAsiaTheme="minorEastAsia" w:cstheme="minorEastAsia"/>
          <w:b/>
          <w:bCs/>
          <w:color w:val="auto"/>
          <w:spacing w:val="4"/>
          <w:sz w:val="32"/>
          <w:szCs w:val="32"/>
          <w:highlight w:val="none"/>
        </w:rPr>
        <w:t>务</w:t>
      </w:r>
      <w:r>
        <w:rPr>
          <w:rFonts w:hint="eastAsia" w:asciiTheme="minorEastAsia" w:hAnsiTheme="minorEastAsia" w:cstheme="minorEastAsia"/>
          <w:b/>
          <w:bCs/>
          <w:color w:val="auto"/>
          <w:spacing w:val="4"/>
          <w:sz w:val="32"/>
          <w:szCs w:val="32"/>
          <w:highlight w:val="none"/>
          <w:lang w:val="en-US" w:eastAsia="zh-CN"/>
        </w:rPr>
        <w:t>公开</w:t>
      </w:r>
      <w:r>
        <w:rPr>
          <w:rFonts w:hint="eastAsia" w:asciiTheme="minorEastAsia" w:hAnsiTheme="minorEastAsia" w:eastAsiaTheme="minorEastAsia" w:cstheme="minorEastAsia"/>
          <w:b/>
          <w:bCs/>
          <w:color w:val="auto"/>
          <w:spacing w:val="4"/>
          <w:sz w:val="32"/>
          <w:szCs w:val="32"/>
          <w:highlight w:val="none"/>
          <w:lang w:val="en-US" w:eastAsia="zh-CN"/>
        </w:rPr>
        <w:t>制度</w:t>
      </w:r>
      <w:bookmarkEnd w:id="0"/>
    </w:p>
    <w:p w14:paraId="43325175">
      <w:pPr>
        <w:pStyle w:val="25"/>
        <w:keepNext/>
        <w:keepLines/>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bCs w:val="0"/>
          <w:color w:val="auto"/>
          <w:sz w:val="32"/>
          <w:szCs w:val="32"/>
        </w:rPr>
      </w:pPr>
      <w:bookmarkStart w:id="1" w:name="_Toc16371"/>
      <w:bookmarkStart w:id="2" w:name="_Toc5923"/>
      <w:bookmarkStart w:id="3" w:name="_Toc21815"/>
      <w:r>
        <w:rPr>
          <w:rFonts w:hint="eastAsia" w:asciiTheme="minorEastAsia" w:hAnsiTheme="minorEastAsia" w:eastAsiaTheme="minorEastAsia" w:cstheme="minorEastAsia"/>
          <w:b/>
          <w:bCs w:val="0"/>
          <w:color w:val="auto"/>
          <w:sz w:val="32"/>
          <w:szCs w:val="32"/>
          <w:lang w:val="en-US" w:eastAsia="zh-CN"/>
        </w:rPr>
        <w:t>2.</w:t>
      </w:r>
      <w:r>
        <w:rPr>
          <w:rFonts w:hint="eastAsia" w:asciiTheme="minorEastAsia" w:hAnsiTheme="minorEastAsia" w:cstheme="minorEastAsia"/>
          <w:b/>
          <w:bCs w:val="0"/>
          <w:color w:val="auto"/>
          <w:sz w:val="32"/>
          <w:szCs w:val="32"/>
          <w:lang w:val="en-US" w:eastAsia="zh-CN"/>
        </w:rPr>
        <w:t>6</w:t>
      </w:r>
      <w:r>
        <w:rPr>
          <w:rFonts w:hint="eastAsia" w:asciiTheme="minorEastAsia" w:hAnsiTheme="minorEastAsia" w:eastAsiaTheme="minorEastAsia" w:cstheme="minorEastAsia"/>
          <w:b/>
          <w:bCs w:val="0"/>
          <w:color w:val="auto"/>
          <w:sz w:val="32"/>
          <w:szCs w:val="32"/>
          <w:lang w:val="en-US" w:eastAsia="zh-CN"/>
        </w:rPr>
        <w:t>.1</w:t>
      </w:r>
      <w:r>
        <w:rPr>
          <w:rFonts w:hint="eastAsia" w:asciiTheme="minorEastAsia" w:hAnsiTheme="minorEastAsia" w:cstheme="minorEastAsia"/>
          <w:b/>
          <w:bCs w:val="0"/>
          <w:color w:val="auto"/>
          <w:sz w:val="32"/>
          <w:szCs w:val="32"/>
          <w:lang w:eastAsia="zh-CN"/>
        </w:rPr>
        <w:t>九江科技职业大学</w:t>
      </w:r>
      <w:r>
        <w:rPr>
          <w:rFonts w:hint="eastAsia" w:asciiTheme="minorEastAsia" w:hAnsiTheme="minorEastAsia" w:eastAsiaTheme="minorEastAsia" w:cstheme="minorEastAsia"/>
          <w:b/>
          <w:bCs w:val="0"/>
          <w:color w:val="auto"/>
          <w:sz w:val="32"/>
          <w:szCs w:val="32"/>
        </w:rPr>
        <w:t>会计机构设置和会计人员管理制度</w:t>
      </w:r>
      <w:bookmarkEnd w:id="1"/>
      <w:bookmarkEnd w:id="2"/>
      <w:bookmarkEnd w:id="3"/>
    </w:p>
    <w:p w14:paraId="65989B5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为加强会计机构及人员的管理，提高财务人员业务水平及职业道德，根据《中华人民共和国会计法》《民间非营利组织会计制度》的相关规定，结合本校实际情况，制定本管理制度。</w:t>
      </w:r>
    </w:p>
    <w:p w14:paraId="2F7F749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一、会计机构设置和会计人员配备</w:t>
      </w:r>
    </w:p>
    <w:p w14:paraId="159D13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独立设置财务处，作为学校的财务机构，学校不得在财务处之外设置同级的财务机构。</w:t>
      </w:r>
    </w:p>
    <w:p w14:paraId="2D1CD3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财务工作实行法定代表人负责制和“统一领导，集中管理”的财务管理体制。配备会计机构负责人、会计主管人员及专职会计人员。</w:t>
      </w:r>
    </w:p>
    <w:p w14:paraId="45DDA6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机构负责人、会计主管人员应具备下列基本条件：坚持原则，廉洁奉公；具备会计师以上专业技术职务资格或者从事会计工作三年以上经历；熟悉国家财经法律、法规、规章和方针、政策，掌握本行业业务管理的有关知识；有较强的组织能力；身体状况能够适应本职工作的要求。</w:t>
      </w:r>
    </w:p>
    <w:p w14:paraId="3418A8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会计人员应当具备必要的专业知识和专业技能，熟悉国家有关法律、法规、规章和国家统一会计制度，遵守职业道德。</w:t>
      </w:r>
    </w:p>
    <w:p w14:paraId="053D57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会计工作岗位分为：会计机构负责人或会计主管人员、出纳、费用核算会计、收入核算会计、往来核算会计、总账会计、电算化会计、收费员、档案管理等。</w:t>
      </w:r>
    </w:p>
    <w:p w14:paraId="5B5C4A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会计工作岗位一人一岗、一人多岗或一岗多人，会计人员不定期进行轮岗。</w:t>
      </w:r>
    </w:p>
    <w:p w14:paraId="1F188D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出纳人员不得兼任稽核、会计档案保管和收入、支出、费用、债权债务账目的登记工作。</w:t>
      </w:r>
    </w:p>
    <w:p w14:paraId="5B2AC8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会计人员为提高业务素质，应加强学习，积极参加培训。</w:t>
      </w:r>
    </w:p>
    <w:p w14:paraId="06DF73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学校领导人的直系亲属不得担任本校会计机构负责人、会计主管人员；会计机构负责人、会计主管人员的直系亲属不得担任本校出纳。</w:t>
      </w:r>
    </w:p>
    <w:p w14:paraId="3F093B3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bCs/>
          <w:color w:val="auto"/>
          <w:sz w:val="28"/>
          <w:szCs w:val="28"/>
        </w:rPr>
      </w:pPr>
    </w:p>
    <w:p w14:paraId="32BCFF3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二、会计人员职业道德</w:t>
      </w:r>
    </w:p>
    <w:p w14:paraId="7C29F4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会计人员应遵守职业道德，树立良好的职业品质、严谨的工作作风、严守工作纪律、努力提高工作效率和工作质量。</w:t>
      </w:r>
    </w:p>
    <w:p w14:paraId="138E85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会计人员应热爱本职工作，努力钻研业务，提高知识和专业技能。</w:t>
      </w:r>
    </w:p>
    <w:p w14:paraId="6FCEB7A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会计人员应当熟悉财经法律、法规、规章、国家统一会计制度及本行业会计制度。</w:t>
      </w:r>
    </w:p>
    <w:p w14:paraId="312531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会计人员应严格按照规定的程序和要求进行会计工作，确保会计信息合法、真实、准确、及时和完整，并为改善学校内部管理、提高经济效益服务。</w:t>
      </w:r>
    </w:p>
    <w:p w14:paraId="2737EE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会计人员应当保守学校秘密，除法律规定和学校领导人同意外，不得私自向外界提供或者泄露本校的会计信息。</w:t>
      </w:r>
    </w:p>
    <w:p w14:paraId="31C3E8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会计人员违反职业道德的，按本校规定进行处罚。</w:t>
      </w:r>
    </w:p>
    <w:p w14:paraId="5EDAA55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三、会计工作交接</w:t>
      </w:r>
    </w:p>
    <w:p w14:paraId="1A4E0A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会计人员工作调动或因故离职，必须将本人所经管的会计工作全部移交给接替人员，没有办清交接手续的，不得调动或者离职。</w:t>
      </w:r>
    </w:p>
    <w:p w14:paraId="288B3F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接替人员应当认真接管移交工作，并继续办理移交的未了事项。</w:t>
      </w:r>
    </w:p>
    <w:p w14:paraId="0036DC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办理移交前，必须及时做好以下工作：已经受理的经济业务尚未填制会计凭证的，应当填制完毕；整理应该移交的各项资料，对未了事项写出书面材料；编制移交清册，列明应当移交的会计凭证、账簿、报表、印章、现金、票据、文件、会计软件密码、数据磁盘、其他会计资料和物品等内容。</w:t>
      </w:r>
    </w:p>
    <w:p w14:paraId="564131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会计人员办理交接手续，必须有监交人负责监交。一般会计人员交接，由会计机构负责人、会计主管人员负责监交；会计机构负责人、会计主管人员交接，由本校领导负责监交。</w:t>
      </w:r>
    </w:p>
    <w:p w14:paraId="47C3E5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移交人员在办理移交时，要按移交清册逐项移交，接替人员要逐项核对点收。现金、有价证券要根据会计账簿有关记录进行点交；会计凭证、账簿、报表和其他会计资料必须完整无缺，如有短缺，须查明原因，并在移交清册中注明，由移交人负责；银行存款账户余额要与银行对账单核对，各种财产物资和债权债务的明细账账户余额与总账有关账户余额核对相符；移交人员经管的票据、印章和其他实物等，必须交接清楚；移交人员从事会计电算化工作的，要对有关电子数据在实际操作状态下进行交接。</w:t>
      </w:r>
    </w:p>
    <w:p w14:paraId="774A09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会计机构负责人、会计主管人员移交时，必须将全部财务会计工作、重大财务收支和会计人员的情况等，向接替人员详细介绍，对需要移交的遗留问题，就当写出书面材料。</w:t>
      </w:r>
    </w:p>
    <w:p w14:paraId="7C3B06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交接完毕后，交接双方和监交人员要在移交清册上签字或者盖章并加盖手印，移交清册上须注明：单位名称，交接日期，交接双方和监交人员的职务、姓名、移交清册页数以及需要说明的问题和意见等。</w:t>
      </w:r>
    </w:p>
    <w:p w14:paraId="1CFEA7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移交清册一式三份，交接双方各执一份，监交人一份用于存档。</w:t>
      </w:r>
    </w:p>
    <w:p w14:paraId="27A367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会计人员临时离职或者因病不能工作且需要接替或者是代理的，会计机构负责人、会计主管人员必须指定有关人员接替或代理，并办理交接手续，</w:t>
      </w:r>
    </w:p>
    <w:p w14:paraId="7048A0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移交人员对所移交的会计凭证、账簿、报表和其他有关资料的合法性、真实性承担法律责任。</w:t>
      </w:r>
    </w:p>
    <w:p w14:paraId="193E3B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附则</w:t>
      </w:r>
    </w:p>
    <w:p w14:paraId="74F358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本制度自发布之日起执行。</w:t>
      </w:r>
    </w:p>
    <w:p w14:paraId="597589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 xml:space="preserve">     </w:t>
      </w:r>
    </w:p>
    <w:p w14:paraId="45BAFA5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p>
    <w:p w14:paraId="1043E46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p>
    <w:p w14:paraId="11475AB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p>
    <w:p w14:paraId="17E266EE">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rPr>
      </w:pPr>
    </w:p>
    <w:p w14:paraId="5D44423C">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rPr>
      </w:pPr>
    </w:p>
    <w:p w14:paraId="5B11B752">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rPr>
      </w:pPr>
    </w:p>
    <w:p w14:paraId="27FDB14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p>
    <w:p w14:paraId="31ECD531">
      <w:pPr>
        <w:pStyle w:val="25"/>
        <w:keepNext/>
        <w:keepLines/>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color w:val="auto"/>
          <w:sz w:val="28"/>
          <w:szCs w:val="28"/>
        </w:rPr>
        <w:br w:type="page"/>
      </w:r>
      <w:bookmarkStart w:id="4" w:name="_Toc20436"/>
      <w:bookmarkStart w:id="5" w:name="_Toc28206"/>
      <w:bookmarkStart w:id="6" w:name="_Toc8682"/>
      <w:r>
        <w:rPr>
          <w:rFonts w:hint="eastAsia" w:asciiTheme="minorEastAsia" w:hAnsiTheme="minorEastAsia" w:eastAsiaTheme="minorEastAsia" w:cstheme="minorEastAsia"/>
          <w:b/>
          <w:bCs w:val="0"/>
          <w:color w:val="auto"/>
          <w:sz w:val="32"/>
          <w:szCs w:val="32"/>
          <w:lang w:val="en-US" w:eastAsia="zh-CN"/>
        </w:rPr>
        <w:t>2.</w:t>
      </w:r>
      <w:r>
        <w:rPr>
          <w:rFonts w:hint="eastAsia" w:asciiTheme="minorEastAsia" w:hAnsiTheme="minorEastAsia" w:cstheme="minorEastAsia"/>
          <w:b/>
          <w:bCs w:val="0"/>
          <w:color w:val="auto"/>
          <w:sz w:val="32"/>
          <w:szCs w:val="32"/>
          <w:lang w:val="en-US" w:eastAsia="zh-CN"/>
        </w:rPr>
        <w:t>6</w:t>
      </w:r>
      <w:r>
        <w:rPr>
          <w:rFonts w:hint="eastAsia" w:asciiTheme="minorEastAsia" w:hAnsiTheme="minorEastAsia" w:eastAsiaTheme="minorEastAsia" w:cstheme="minorEastAsia"/>
          <w:b/>
          <w:bCs w:val="0"/>
          <w:color w:val="auto"/>
          <w:sz w:val="32"/>
          <w:szCs w:val="32"/>
          <w:lang w:val="en-US" w:eastAsia="zh-CN"/>
        </w:rPr>
        <w:t>.</w:t>
      </w:r>
      <w:r>
        <w:rPr>
          <w:rFonts w:hint="eastAsia" w:asciiTheme="minorEastAsia" w:hAnsiTheme="minorEastAsia" w:cstheme="minorEastAsia"/>
          <w:b/>
          <w:bCs w:val="0"/>
          <w:color w:val="auto"/>
          <w:sz w:val="32"/>
          <w:szCs w:val="32"/>
          <w:lang w:val="en-US" w:eastAsia="zh-CN"/>
        </w:rPr>
        <w:t>2</w:t>
      </w:r>
      <w:r>
        <w:rPr>
          <w:rFonts w:hint="eastAsia" w:asciiTheme="minorEastAsia" w:hAnsiTheme="minorEastAsia" w:cstheme="minorEastAsia"/>
          <w:b/>
          <w:bCs w:val="0"/>
          <w:color w:val="auto"/>
          <w:sz w:val="32"/>
          <w:szCs w:val="32"/>
          <w:lang w:eastAsia="zh-CN"/>
        </w:rPr>
        <w:t>九江科技职业大学</w:t>
      </w:r>
      <w:r>
        <w:rPr>
          <w:rFonts w:hint="eastAsia" w:asciiTheme="minorEastAsia" w:hAnsiTheme="minorEastAsia" w:eastAsiaTheme="minorEastAsia" w:cstheme="minorEastAsia"/>
          <w:b/>
          <w:bCs w:val="0"/>
          <w:color w:val="auto"/>
          <w:sz w:val="32"/>
          <w:szCs w:val="32"/>
        </w:rPr>
        <w:t>财务管理制度</w:t>
      </w:r>
      <w:bookmarkEnd w:id="4"/>
      <w:bookmarkEnd w:id="5"/>
      <w:bookmarkEnd w:id="6"/>
    </w:p>
    <w:p w14:paraId="6282491B">
      <w:pPr>
        <w:pStyle w:val="25"/>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第一章  总则</w:t>
      </w:r>
    </w:p>
    <w:p w14:paraId="11DF76C2">
      <w:pPr>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第一条  </w:t>
      </w:r>
      <w:r>
        <w:rPr>
          <w:rFonts w:hint="eastAsia" w:asciiTheme="minorEastAsia" w:hAnsiTheme="minorEastAsia" w:eastAsiaTheme="minorEastAsia" w:cstheme="minorEastAsia"/>
          <w:color w:val="auto"/>
          <w:sz w:val="28"/>
          <w:szCs w:val="28"/>
        </w:rPr>
        <w:t>为规范我校财务管理工作，明晰学校的经济关系，维护国家、举办者和学校的合法权益，促进民办高等教育事业健康发展，根据《中华人民共和国民办教育促进法》《国务院关于鼓励社会力量兴办教育促进民办教育健康发展的若干意见》《民办高等学校办学管理若干规定》《中华人民共和国会计法》及《民间非营利组织会计制度》等有关法律法规、规章制度，结合我省民办教育实际情况，制定本管理制度。</w:t>
      </w:r>
    </w:p>
    <w:p w14:paraId="7ADFE7BD">
      <w:pPr>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第二条  </w:t>
      </w:r>
      <w:r>
        <w:rPr>
          <w:rFonts w:hint="eastAsia" w:asciiTheme="minorEastAsia" w:hAnsiTheme="minorEastAsia" w:eastAsiaTheme="minorEastAsia" w:cstheme="minorEastAsia"/>
          <w:color w:val="auto"/>
          <w:sz w:val="28"/>
          <w:szCs w:val="28"/>
        </w:rPr>
        <w:t>民办高等学校是社会公益性事业单位，是国家教育事业的组成部分，民办高等学校不得以营利为目的。</w:t>
      </w:r>
    </w:p>
    <w:p w14:paraId="0B747F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第二章  财务管理体制及财会人员</w:t>
      </w:r>
    </w:p>
    <w:p w14:paraId="2F2DCEE4">
      <w:pPr>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第三条  </w:t>
      </w:r>
      <w:r>
        <w:rPr>
          <w:rFonts w:hint="eastAsia" w:asciiTheme="minorEastAsia" w:hAnsiTheme="minorEastAsia" w:eastAsiaTheme="minorEastAsia" w:cstheme="minorEastAsia"/>
          <w:color w:val="auto"/>
          <w:sz w:val="28"/>
          <w:szCs w:val="28"/>
        </w:rPr>
        <w:t>学校的财务工作实行法定代表人负责制和“统一领导，集中管理”的财务管理体制。学校必须独立设置财务处，作为学校的一级财务机构，统一管理学校的各项财务工作，制定财务规章制度，编制财务收支预、决算，集中管理学校的各种资金。学校不得在财务处之外设置同级的财务机构。</w:t>
      </w:r>
    </w:p>
    <w:p w14:paraId="5A457437">
      <w:pPr>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第四条  </w:t>
      </w:r>
      <w:r>
        <w:rPr>
          <w:rFonts w:hint="eastAsia" w:asciiTheme="minorEastAsia" w:hAnsiTheme="minorEastAsia" w:eastAsiaTheme="minorEastAsia" w:cstheme="minorEastAsia"/>
          <w:color w:val="auto"/>
          <w:sz w:val="28"/>
          <w:szCs w:val="28"/>
        </w:rPr>
        <w:t>学校财务处负责人必须取得会计从业资格证书，同时，还应当具备会计师以上专业技术职务资格或者从事会计工作三年以上经历。一般会计人员必须取得会计从业资格证书。</w:t>
      </w:r>
    </w:p>
    <w:p w14:paraId="45372D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第三章  预算管理</w:t>
      </w:r>
    </w:p>
    <w:p w14:paraId="72EB24DD">
      <w:pPr>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auto"/>
          <w:sz w:val="28"/>
          <w:szCs w:val="28"/>
        </w:rPr>
        <w:t xml:space="preserve">第五条  </w:t>
      </w:r>
      <w:r>
        <w:rPr>
          <w:rFonts w:hint="eastAsia" w:asciiTheme="minorEastAsia" w:hAnsiTheme="minorEastAsia" w:eastAsiaTheme="minorEastAsia" w:cstheme="minorEastAsia"/>
          <w:color w:val="auto"/>
          <w:sz w:val="28"/>
          <w:szCs w:val="28"/>
        </w:rPr>
        <w:t>学校预算是指学校根据年度事业发展计划和经费支出需要编</w:t>
      </w:r>
      <w:r>
        <w:rPr>
          <w:rFonts w:hint="eastAsia" w:asciiTheme="minorEastAsia" w:hAnsiTheme="minorEastAsia" w:eastAsiaTheme="minorEastAsia" w:cstheme="minorEastAsia"/>
          <w:color w:val="000000" w:themeColor="text1"/>
          <w:sz w:val="28"/>
          <w:szCs w:val="28"/>
          <w14:textFill>
            <w14:solidFill>
              <w14:schemeClr w14:val="tx1"/>
            </w14:solidFill>
          </w14:textFill>
        </w:rPr>
        <w:t>制的综合财务收支计划。年度预算分为收入预算和支出预算。</w:t>
      </w:r>
    </w:p>
    <w:p w14:paraId="37E44963">
      <w:pPr>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 xml:space="preserve">第六条  </w:t>
      </w:r>
      <w:r>
        <w:rPr>
          <w:rFonts w:hint="eastAsia" w:asciiTheme="minorEastAsia" w:hAnsiTheme="minorEastAsia" w:eastAsiaTheme="minorEastAsia" w:cstheme="minorEastAsia"/>
          <w:color w:val="000000" w:themeColor="text1"/>
          <w:sz w:val="28"/>
          <w:szCs w:val="28"/>
          <w14:textFill>
            <w14:solidFill>
              <w14:schemeClr w14:val="tx1"/>
            </w14:solidFill>
          </w14:textFill>
        </w:rPr>
        <w:t>学校预算的编制应当遵循“量入为出、收支平衡、积极稳妥、统筹兼顾、保证重点、效益优先</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勤俭节约</w:t>
      </w:r>
      <w:r>
        <w:rPr>
          <w:rFonts w:hint="eastAsia" w:asciiTheme="minorEastAsia" w:hAnsiTheme="minorEastAsia" w:eastAsiaTheme="minorEastAsia" w:cstheme="minorEastAsia"/>
          <w:color w:val="000000" w:themeColor="text1"/>
          <w:sz w:val="28"/>
          <w:szCs w:val="28"/>
          <w14:textFill>
            <w14:solidFill>
              <w14:schemeClr w14:val="tx1"/>
            </w14:solidFill>
          </w14:textFill>
        </w:rPr>
        <w:t>”的原则；预算编制按照“收支两条线”的原则进行统筹规划，全面反映</w:t>
      </w:r>
      <w:r>
        <w:rPr>
          <w:rFonts w:hint="eastAsia" w:asciiTheme="minorEastAsia" w:hAnsiTheme="minorEastAsia" w:cstheme="minorEastAsia"/>
          <w:color w:val="000000" w:themeColor="text1"/>
          <w:sz w:val="28"/>
          <w:szCs w:val="28"/>
          <w:lang w:val="en-US" w:eastAsia="zh-CN"/>
          <w14:textFill>
            <w14:solidFill>
              <w14:schemeClr w14:val="tx1"/>
            </w14:solidFill>
          </w14:textFill>
        </w:rPr>
        <w:t>学校</w:t>
      </w:r>
      <w:r>
        <w:rPr>
          <w:rFonts w:hint="eastAsia" w:asciiTheme="minorEastAsia" w:hAnsiTheme="minorEastAsia" w:eastAsiaTheme="minorEastAsia" w:cstheme="minorEastAsia"/>
          <w:color w:val="000000" w:themeColor="text1"/>
          <w:sz w:val="28"/>
          <w:szCs w:val="28"/>
          <w14:textFill>
            <w14:solidFill>
              <w14:schemeClr w14:val="tx1"/>
            </w14:solidFill>
          </w14:textFill>
        </w:rPr>
        <w:t>年度财务收支总貌</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775EACC0">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收入预算应坚持积极稳妥的原则。既要考虑经费来源渠道的增加和收入的增长，又要尽量核实收入，避免赤字隐患。</w:t>
      </w:r>
    </w:p>
    <w:p w14:paraId="283F09C0">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支出预算应坚持统筹兼顾、保证重点、勤俭节约等原则。支出预算既要体现出预算年度学院整体的事业目标，又要保证教学的中心地位；在确保人员支出和正常运行开支的前提下，合理安排事业发展支出，要使得学院事业发展规划与学院财务收支计划相适应。此外，在学院支出预算总额中要保留有适当比例的预备费（调剂基金），以用于解决当年学院预算执行中出现的不可预见性开支。</w:t>
      </w:r>
    </w:p>
    <w:p w14:paraId="4AE698C9">
      <w:pPr>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第七条 </w:t>
      </w:r>
      <w:r>
        <w:rPr>
          <w:rFonts w:hint="eastAsia" w:asciiTheme="minorEastAsia" w:hAnsiTheme="minorEastAsia" w:eastAsiaTheme="minorEastAsia" w:cstheme="minorEastAsia"/>
          <w:color w:val="auto"/>
          <w:sz w:val="28"/>
          <w:szCs w:val="28"/>
        </w:rPr>
        <w:t xml:space="preserve"> 学校必须建立严格的预算管理制度，明确预算编制方法和审批程序。预算一经批准，就对学校的经济活动具有约束力。学校的年度预算必须在每年年底前制定。</w:t>
      </w:r>
    </w:p>
    <w:p w14:paraId="744F78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第四章  收入管理</w:t>
      </w:r>
    </w:p>
    <w:p w14:paraId="7CBEF21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第八条 </w:t>
      </w:r>
      <w:r>
        <w:rPr>
          <w:rFonts w:hint="eastAsia" w:asciiTheme="minorEastAsia" w:hAnsiTheme="minorEastAsia" w:eastAsiaTheme="minorEastAsia" w:cstheme="minorEastAsia"/>
          <w:color w:val="auto"/>
          <w:sz w:val="28"/>
          <w:szCs w:val="28"/>
        </w:rPr>
        <w:t xml:space="preserve"> 收入是指学校开展业务活动取得的、导致本期净资产增加的经济利益的流入。</w:t>
      </w:r>
    </w:p>
    <w:p w14:paraId="53EC10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第九条</w:t>
      </w:r>
      <w:r>
        <w:rPr>
          <w:rFonts w:hint="eastAsia" w:asciiTheme="minorEastAsia" w:hAnsiTheme="minorEastAsia" w:eastAsiaTheme="minorEastAsia" w:cstheme="minorEastAsia"/>
          <w:color w:val="auto"/>
          <w:sz w:val="28"/>
          <w:szCs w:val="28"/>
        </w:rPr>
        <w:t xml:space="preserve">  民办学校收入包括：捐赠收入、教育事业收入、科研事业收入、政府补助收入、其他收入等。</w:t>
      </w:r>
    </w:p>
    <w:p w14:paraId="7624C38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第十条 </w:t>
      </w:r>
      <w:r>
        <w:rPr>
          <w:rFonts w:hint="eastAsia" w:asciiTheme="minorEastAsia" w:hAnsiTheme="minorEastAsia" w:eastAsiaTheme="minorEastAsia" w:cstheme="minorEastAsia"/>
          <w:color w:val="auto"/>
          <w:sz w:val="28"/>
          <w:szCs w:val="28"/>
        </w:rPr>
        <w:t xml:space="preserve"> 除第九条规定的各项收入外，向学生收取的代办费不列入学校收入，应列入“其他应付款”核算，不得</w:t>
      </w:r>
      <w:r>
        <w:rPr>
          <w:rFonts w:hint="eastAsia" w:asciiTheme="minorEastAsia" w:hAnsiTheme="minorEastAsia" w:cstheme="minorEastAsia"/>
          <w:color w:val="auto"/>
          <w:sz w:val="28"/>
          <w:szCs w:val="28"/>
          <w:lang w:eastAsia="zh-CN"/>
        </w:rPr>
        <w:t>挪作他用</w:t>
      </w:r>
      <w:r>
        <w:rPr>
          <w:rFonts w:hint="eastAsia" w:asciiTheme="minorEastAsia" w:hAnsiTheme="minorEastAsia" w:eastAsiaTheme="minorEastAsia" w:cstheme="minorEastAsia"/>
          <w:color w:val="auto"/>
          <w:sz w:val="28"/>
          <w:szCs w:val="28"/>
        </w:rPr>
        <w:t>。代办费应按学年收取，按实列支，多退少补，并须每学年向学生公布收支情况。</w:t>
      </w:r>
    </w:p>
    <w:p w14:paraId="448C86E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第十一条</w:t>
      </w:r>
      <w:r>
        <w:rPr>
          <w:rFonts w:hint="eastAsia" w:asciiTheme="minorEastAsia" w:hAnsiTheme="minorEastAsia" w:eastAsiaTheme="minorEastAsia" w:cstheme="minorEastAsia"/>
          <w:color w:val="auto"/>
          <w:sz w:val="28"/>
          <w:szCs w:val="28"/>
        </w:rPr>
        <w:t xml:space="preserve">  学校各项收入都必须使用符合国家规定的合法票据，</w:t>
      </w:r>
      <w:r>
        <w:rPr>
          <w:rFonts w:hint="eastAsia" w:asciiTheme="minorEastAsia" w:hAnsiTheme="minorEastAsia" w:eastAsiaTheme="minorEastAsia" w:cstheme="minorEastAsia"/>
          <w:color w:val="000000" w:themeColor="text1"/>
          <w:sz w:val="28"/>
          <w:szCs w:val="28"/>
          <w14:textFill>
            <w14:solidFill>
              <w14:schemeClr w14:val="tx1"/>
            </w14:solidFill>
          </w14:textFill>
        </w:rPr>
        <w:t>各部门应当及时将涉及收入的合同协议等有关材料交财</w:t>
      </w:r>
      <w:r>
        <w:rPr>
          <w:rFonts w:hint="eastAsia" w:asciiTheme="minorEastAsia" w:hAnsiTheme="minorEastAsia" w:cstheme="minorEastAsia"/>
          <w:color w:val="000000" w:themeColor="text1"/>
          <w:sz w:val="28"/>
          <w:szCs w:val="28"/>
          <w:lang w:val="en-US" w:eastAsia="zh-CN"/>
          <w14:textFill>
            <w14:solidFill>
              <w14:schemeClr w14:val="tx1"/>
            </w14:solidFill>
          </w14:textFill>
        </w:rPr>
        <w:t>务</w:t>
      </w:r>
      <w:r>
        <w:rPr>
          <w:rFonts w:hint="eastAsia" w:asciiTheme="minorEastAsia" w:hAnsiTheme="minorEastAsia" w:eastAsiaTheme="minorEastAsia" w:cstheme="minorEastAsia"/>
          <w:color w:val="000000" w:themeColor="text1"/>
          <w:sz w:val="28"/>
          <w:szCs w:val="28"/>
          <w14:textFill>
            <w14:solidFill>
              <w14:schemeClr w14:val="tx1"/>
            </w14:solidFill>
          </w14:textFill>
        </w:rPr>
        <w:t>处，确保各项收入应收尽收，及时入账。财</w:t>
      </w:r>
      <w:r>
        <w:rPr>
          <w:rFonts w:hint="eastAsia" w:asciiTheme="minorEastAsia" w:hAnsiTheme="minorEastAsia" w:cstheme="minorEastAsia"/>
          <w:color w:val="000000" w:themeColor="text1"/>
          <w:sz w:val="28"/>
          <w:szCs w:val="28"/>
          <w:lang w:val="en-US" w:eastAsia="zh-CN"/>
          <w14:textFill>
            <w14:solidFill>
              <w14:schemeClr w14:val="tx1"/>
            </w14:solidFill>
          </w14:textFill>
        </w:rPr>
        <w:t>务</w:t>
      </w:r>
      <w:r>
        <w:rPr>
          <w:rFonts w:hint="eastAsia" w:asciiTheme="minorEastAsia" w:hAnsiTheme="minorEastAsia" w:eastAsiaTheme="minorEastAsia" w:cstheme="minorEastAsia"/>
          <w:color w:val="000000" w:themeColor="text1"/>
          <w:sz w:val="28"/>
          <w:szCs w:val="28"/>
          <w14:textFill>
            <w14:solidFill>
              <w14:schemeClr w14:val="tx1"/>
            </w14:solidFill>
          </w14:textFill>
        </w:rPr>
        <w:t>处应当定期检查收入金额是否与合同约定相符；对应收未收项目应当查明原因，明确责任主体，落实催收责任</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按“收支两条线”管理的原则统一核算，统一管理。学校内部其他部门不得自行</w:t>
      </w:r>
      <w:r>
        <w:rPr>
          <w:rFonts w:hint="eastAsia" w:asciiTheme="minorEastAsia" w:hAnsiTheme="minorEastAsia" w:eastAsiaTheme="minorEastAsia" w:cstheme="minorEastAsia"/>
          <w:color w:val="auto"/>
          <w:sz w:val="28"/>
          <w:szCs w:val="28"/>
        </w:rPr>
        <w:t>向学生收取任何费用。禁止隐匿、截留学校收入或抽逃办学资金。</w:t>
      </w:r>
    </w:p>
    <w:p w14:paraId="0CB613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第五章  费用支出管理</w:t>
      </w:r>
    </w:p>
    <w:p w14:paraId="1C12F7D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第十二条  </w:t>
      </w:r>
      <w:r>
        <w:rPr>
          <w:rFonts w:hint="eastAsia" w:asciiTheme="minorEastAsia" w:hAnsiTheme="minorEastAsia" w:eastAsiaTheme="minorEastAsia" w:cstheme="minorEastAsia"/>
          <w:color w:val="auto"/>
          <w:sz w:val="28"/>
          <w:szCs w:val="28"/>
        </w:rPr>
        <w:t>学校的费用支出要以教学、科研为中心，根据“确保必需，突出重点、效率优先”的原则安排各项支出。要严格支出管理，优化支出结构，提高资金使用效益。</w:t>
      </w:r>
    </w:p>
    <w:p w14:paraId="3457EF4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第十三条  </w:t>
      </w:r>
      <w:r>
        <w:rPr>
          <w:rFonts w:hint="eastAsia" w:asciiTheme="minorEastAsia" w:hAnsiTheme="minorEastAsia" w:eastAsiaTheme="minorEastAsia" w:cstheme="minorEastAsia"/>
          <w:color w:val="auto"/>
          <w:sz w:val="28"/>
          <w:szCs w:val="28"/>
        </w:rPr>
        <w:t>学校的全部费用支出应当统一分类，统一核算、统一管理。学校的费用支出包括：教育事业支出、科研事业支出、行政管理支出及后勤保障支出。四项支出又分别包括：基本支出、项目支出、财政补助支出及上级补助支出。基本支出包括：工资福利支出、商品服务支出、对个人家庭的补助、债务利息支出和其他资本性支出及其他费用。</w:t>
      </w:r>
    </w:p>
    <w:p w14:paraId="518B1EE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第十四条  </w:t>
      </w:r>
      <w:r>
        <w:rPr>
          <w:rFonts w:hint="eastAsia" w:asciiTheme="minorEastAsia" w:hAnsiTheme="minorEastAsia" w:eastAsiaTheme="minorEastAsia" w:cstheme="minorEastAsia"/>
          <w:color w:val="auto"/>
          <w:sz w:val="28"/>
          <w:szCs w:val="28"/>
        </w:rPr>
        <w:t>学校在开展教学科研和经营活动中，应当根据收入与支出相匹配的原则，正确归集实际发生的各项费用；不能直接归集的，应当按照规定的比例合理分摊。</w:t>
      </w:r>
    </w:p>
    <w:p w14:paraId="6D6CCA8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第十五条  </w:t>
      </w:r>
      <w:r>
        <w:rPr>
          <w:rFonts w:hint="eastAsia" w:asciiTheme="minorEastAsia" w:hAnsiTheme="minorEastAsia" w:eastAsiaTheme="minorEastAsia" w:cstheme="minorEastAsia"/>
          <w:color w:val="auto"/>
          <w:sz w:val="28"/>
          <w:szCs w:val="28"/>
        </w:rPr>
        <w:t>学校要加强支出管理，并</w:t>
      </w:r>
      <w:r>
        <w:rPr>
          <w:rFonts w:hint="eastAsia" w:asciiTheme="minorEastAsia" w:hAnsiTheme="minorEastAsia" w:cstheme="minorEastAsia"/>
          <w:color w:val="auto"/>
          <w:sz w:val="28"/>
          <w:szCs w:val="28"/>
          <w:lang w:eastAsia="zh-CN"/>
        </w:rPr>
        <w:t>制定</w:t>
      </w:r>
      <w:r>
        <w:rPr>
          <w:rFonts w:hint="eastAsia" w:asciiTheme="minorEastAsia" w:hAnsiTheme="minorEastAsia" w:eastAsiaTheme="minorEastAsia" w:cstheme="minorEastAsia"/>
          <w:color w:val="auto"/>
          <w:sz w:val="28"/>
          <w:szCs w:val="28"/>
        </w:rPr>
        <w:t>相应的管理规定，进行严格的内部控制。各项支出不得虚列虚报，也不得以计划数或预算数代替。</w:t>
      </w:r>
    </w:p>
    <w:p w14:paraId="129E5A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第六章  净资产和发展基金的管理</w:t>
      </w:r>
    </w:p>
    <w:p w14:paraId="460C8E2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第十六条  </w:t>
      </w:r>
      <w:r>
        <w:rPr>
          <w:rFonts w:hint="eastAsia" w:asciiTheme="minorEastAsia" w:hAnsiTheme="minorEastAsia" w:eastAsiaTheme="minorEastAsia" w:cstheme="minorEastAsia"/>
          <w:color w:val="auto"/>
          <w:sz w:val="28"/>
          <w:szCs w:val="28"/>
        </w:rPr>
        <w:t>净资产是指资产减去负债后的余额。</w:t>
      </w:r>
    </w:p>
    <w:p w14:paraId="5475601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第十七条  </w:t>
      </w:r>
      <w:r>
        <w:rPr>
          <w:rFonts w:hint="eastAsia" w:asciiTheme="minorEastAsia" w:hAnsiTheme="minorEastAsia" w:eastAsiaTheme="minorEastAsia" w:cstheme="minorEastAsia"/>
          <w:color w:val="auto"/>
          <w:sz w:val="28"/>
          <w:szCs w:val="28"/>
        </w:rPr>
        <w:t>学校净资产的分配。在每个会计年度结束时，应当从年度净收益中，按不低于年度资产增加额或者净收益的25%的比例提取发展基金，用于学校的建设、维护和教学设备的添置、更新。发展基金的使用应遵循“单独核算、先提后用、专款专用”的原则。</w:t>
      </w:r>
    </w:p>
    <w:p w14:paraId="6430BD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第七章  资产管理</w:t>
      </w:r>
    </w:p>
    <w:p w14:paraId="727F449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第十八条  </w:t>
      </w:r>
      <w:r>
        <w:rPr>
          <w:rFonts w:hint="eastAsia" w:asciiTheme="minorEastAsia" w:hAnsiTheme="minorEastAsia" w:eastAsiaTheme="minorEastAsia" w:cstheme="minorEastAsia"/>
          <w:color w:val="auto"/>
          <w:sz w:val="28"/>
          <w:szCs w:val="28"/>
        </w:rPr>
        <w:t>资产是指学校占有或者使用的能以货币计量的经济资源，包括各种财产、债权和其他权利。</w:t>
      </w:r>
    </w:p>
    <w:p w14:paraId="42CC91B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第十九条  </w:t>
      </w:r>
      <w:r>
        <w:rPr>
          <w:rFonts w:hint="eastAsia" w:asciiTheme="minorEastAsia" w:hAnsiTheme="minorEastAsia" w:eastAsiaTheme="minorEastAsia" w:cstheme="minorEastAsia"/>
          <w:color w:val="auto"/>
          <w:sz w:val="28"/>
          <w:szCs w:val="28"/>
        </w:rPr>
        <w:t>学校的资产包括流动资产、固定资产、无形资产</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在建工程</w:t>
      </w:r>
      <w:r>
        <w:rPr>
          <w:rFonts w:hint="eastAsia" w:asciiTheme="minorEastAsia" w:hAnsiTheme="minorEastAsia" w:eastAsiaTheme="minorEastAsia" w:cstheme="minorEastAsia"/>
          <w:color w:val="auto"/>
          <w:sz w:val="28"/>
          <w:szCs w:val="28"/>
        </w:rPr>
        <w:t>。</w:t>
      </w:r>
    </w:p>
    <w:p w14:paraId="75FAFE3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第二十条  </w:t>
      </w:r>
      <w:r>
        <w:rPr>
          <w:rFonts w:hint="eastAsia" w:asciiTheme="minorEastAsia" w:hAnsiTheme="minorEastAsia" w:eastAsiaTheme="minorEastAsia" w:cstheme="minorEastAsia"/>
          <w:color w:val="auto"/>
          <w:sz w:val="28"/>
          <w:szCs w:val="28"/>
        </w:rPr>
        <w:t>流动资产是指可以在一年内变现或者耗用的资产，包括现金、银行存款、应收账款、其他应收款、预付账款、材料等。</w:t>
      </w:r>
    </w:p>
    <w:p w14:paraId="777D50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材料是指学校在开展教学、科研及其他活动过程中为耗用而储存的资产，包括各类材料、消耗物资、低值易耗品等。学校应对材料进行定期或不定期的清查盘点，年度终了前应进行一次全面的清查盘点，做到账表相符、账账相符、账实相符。盘盈的存货应当按同类或类似的存货市场价格作为实际成本计价入账；盘亏的存货，应当在查明原因后按规定及时进行调整。</w:t>
      </w:r>
    </w:p>
    <w:p w14:paraId="335CA3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应当建立、健全现金及银行存款的内部管理制度。出纳要严格按照财务程序，根据审核无误的会计凭证办理现金支付业务，并在原始凭证和收付款凭证上加盖“现金收讫”与“现金付讫”章。现金做到日清月结，每日应对库存现金进行盘点，做到账实相符。各单位一般只能在一个开户银行开设一个存款基本账户，不得多头开户。月末根据银行对账单核实账务，有未达款项，编制银行调节表。</w:t>
      </w:r>
    </w:p>
    <w:p w14:paraId="1EE774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对应收账款和其他应收款应当及时清理结算，不得长期</w:t>
      </w:r>
      <w:r>
        <w:rPr>
          <w:rFonts w:hint="eastAsia" w:asciiTheme="minorEastAsia" w:hAnsiTheme="minorEastAsia" w:cstheme="minorEastAsia"/>
          <w:color w:val="auto"/>
          <w:sz w:val="28"/>
          <w:szCs w:val="28"/>
          <w:lang w:eastAsia="zh-CN"/>
        </w:rPr>
        <w:t>挂账</w:t>
      </w:r>
      <w:r>
        <w:rPr>
          <w:rFonts w:hint="eastAsia" w:asciiTheme="minorEastAsia" w:hAnsiTheme="minorEastAsia" w:eastAsiaTheme="minorEastAsia" w:cstheme="minorEastAsia"/>
          <w:color w:val="auto"/>
          <w:sz w:val="28"/>
          <w:szCs w:val="28"/>
        </w:rPr>
        <w:t>。对确实无法收回的应收账款和其他应收款项，要查明原因，分清责任，按规定程序批准后核销。</w:t>
      </w:r>
    </w:p>
    <w:p w14:paraId="5F42EB3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第二十一条  </w:t>
      </w:r>
      <w:r>
        <w:rPr>
          <w:rFonts w:hint="eastAsia" w:asciiTheme="minorEastAsia" w:hAnsiTheme="minorEastAsia" w:eastAsiaTheme="minorEastAsia" w:cstheme="minorEastAsia"/>
          <w:color w:val="auto"/>
          <w:sz w:val="28"/>
          <w:szCs w:val="28"/>
        </w:rPr>
        <w:t>固定资产是指一般设备单位价值在800元以上、专用设备单位价值在1000元以上，使用期限在一年以上，并在使用过程中基本保持原有物质形态的资产。单位价值虽未达到规定标准，但耐用时间在一年以上的大批同类物资，也作为固定资产管理，具体品目由学校自行确定。</w:t>
      </w:r>
    </w:p>
    <w:p w14:paraId="396C36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固定资产一般分为六大类：</w:t>
      </w:r>
    </w:p>
    <w:p w14:paraId="7DFBEF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第一类：房屋及建筑物；</w:t>
      </w:r>
    </w:p>
    <w:p w14:paraId="6700FB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第二类：专用设备</w:t>
      </w:r>
    </w:p>
    <w:p w14:paraId="201B37A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第三类：一般设备：</w:t>
      </w:r>
    </w:p>
    <w:p w14:paraId="6F8C63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第四类：文物及陈列品；</w:t>
      </w:r>
    </w:p>
    <w:p w14:paraId="31738F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第五类：图书</w:t>
      </w:r>
    </w:p>
    <w:p w14:paraId="046957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第六类：其他固定资产。</w:t>
      </w:r>
    </w:p>
    <w:p w14:paraId="555EE8B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学校应根据规定的固定资产标准，结合本校的具体情况，制定各类固定资产明细目录。</w:t>
      </w:r>
    </w:p>
    <w:p w14:paraId="7DC9AF6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第二十二条  </w:t>
      </w:r>
      <w:r>
        <w:rPr>
          <w:rFonts w:hint="eastAsia" w:asciiTheme="minorEastAsia" w:hAnsiTheme="minorEastAsia" w:eastAsiaTheme="minorEastAsia" w:cstheme="minorEastAsia"/>
          <w:color w:val="auto"/>
          <w:sz w:val="28"/>
          <w:szCs w:val="28"/>
        </w:rPr>
        <w:t>学校固定资产的报废，应当由校内管理部门组织</w:t>
      </w:r>
      <w:r>
        <w:rPr>
          <w:rFonts w:hint="eastAsia" w:asciiTheme="minorEastAsia" w:hAnsiTheme="minorEastAsia" w:cstheme="minorEastAsia"/>
          <w:color w:val="000000" w:themeColor="text1"/>
          <w:sz w:val="28"/>
          <w:szCs w:val="28"/>
          <w:lang w:val="en-US" w:eastAsia="zh-CN"/>
          <w14:textFill>
            <w14:solidFill>
              <w14:schemeClr w14:val="tx1"/>
            </w14:solidFill>
          </w14:textFill>
        </w:rPr>
        <w:t>相关专家认定</w:t>
      </w:r>
      <w:r>
        <w:rPr>
          <w:rFonts w:hint="eastAsia" w:asciiTheme="minorEastAsia" w:hAnsiTheme="minorEastAsia" w:eastAsiaTheme="minorEastAsia" w:cstheme="minorEastAsia"/>
          <w:color w:val="000000" w:themeColor="text1"/>
          <w:sz w:val="28"/>
          <w:szCs w:val="28"/>
          <w14:textFill>
            <w14:solidFill>
              <w14:schemeClr w14:val="tx1"/>
            </w14:solidFill>
          </w14:textFill>
        </w:rPr>
        <w:t>，报经</w:t>
      </w:r>
      <w:r>
        <w:rPr>
          <w:rFonts w:hint="eastAsia" w:asciiTheme="minorEastAsia" w:hAnsiTheme="minorEastAsia" w:cstheme="minorEastAsia"/>
          <w:color w:val="000000" w:themeColor="text1"/>
          <w:sz w:val="28"/>
          <w:szCs w:val="28"/>
          <w:lang w:val="en-US" w:eastAsia="zh-CN"/>
          <w14:textFill>
            <w14:solidFill>
              <w14:schemeClr w14:val="tx1"/>
            </w14:solidFill>
          </w14:textFill>
        </w:rPr>
        <w:t>校领导</w:t>
      </w:r>
      <w:r>
        <w:rPr>
          <w:rFonts w:hint="eastAsia" w:asciiTheme="minorEastAsia" w:hAnsiTheme="minorEastAsia" w:eastAsiaTheme="minorEastAsia" w:cstheme="minorEastAsia"/>
          <w:color w:val="000000" w:themeColor="text1"/>
          <w:sz w:val="28"/>
          <w:szCs w:val="28"/>
          <w14:textFill>
            <w14:solidFill>
              <w14:schemeClr w14:val="tx1"/>
            </w14:solidFill>
          </w14:textFill>
        </w:rPr>
        <w:t>审批。</w:t>
      </w:r>
      <w:r>
        <w:rPr>
          <w:rFonts w:hint="eastAsia" w:asciiTheme="minorEastAsia" w:hAnsiTheme="minorEastAsia" w:eastAsiaTheme="minorEastAsia" w:cstheme="minorEastAsia"/>
          <w:color w:val="auto"/>
          <w:sz w:val="28"/>
          <w:szCs w:val="28"/>
        </w:rPr>
        <w:t>固定资产变价收入应当转入其他收入。</w:t>
      </w:r>
    </w:p>
    <w:p w14:paraId="3909CEA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第二十三条  </w:t>
      </w:r>
      <w:r>
        <w:rPr>
          <w:rFonts w:hint="eastAsia" w:asciiTheme="minorEastAsia" w:hAnsiTheme="minorEastAsia" w:eastAsiaTheme="minorEastAsia" w:cstheme="minorEastAsia"/>
          <w:color w:val="auto"/>
          <w:sz w:val="28"/>
          <w:szCs w:val="28"/>
        </w:rPr>
        <w:t>学校应当定期或不定期对固定资产进行清查盘点，年度终了前，应当进行一次全面的清查盘点，做到账表相符、账账相符、账卡相符、账实相符。对盘盈的固定资产，应当按同类或类似资产的市场价格计价入账；对盘亏的固定资产，应当按规定程序在年终前及时处理。学校应结合本校的实际情况，制定固定资产管理办法。</w:t>
      </w:r>
    </w:p>
    <w:p w14:paraId="35F21D8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第二十四条  </w:t>
      </w:r>
      <w:r>
        <w:rPr>
          <w:rFonts w:hint="eastAsia" w:asciiTheme="minorEastAsia" w:hAnsiTheme="minorEastAsia" w:eastAsiaTheme="minorEastAsia" w:cstheme="minorEastAsia"/>
          <w:color w:val="auto"/>
          <w:sz w:val="28"/>
          <w:szCs w:val="28"/>
        </w:rPr>
        <w:t>为便于准确反映固定资产的新旧程度，正确核算办学成本，学校应当进行固定资产折旧核算。折旧方法：采用平均年限法。残值率为5%。新增固定资产从投入使用的次月起计提折旧；当月减少的固定资产，从减少的次月起停计折旧。非正常性中断连续六个月以上不使用的固定资产，可以不提折旧。</w:t>
      </w:r>
    </w:p>
    <w:p w14:paraId="31573C3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第二十五条  </w:t>
      </w:r>
      <w:r>
        <w:rPr>
          <w:rFonts w:hint="eastAsia" w:asciiTheme="minorEastAsia" w:hAnsiTheme="minorEastAsia" w:eastAsiaTheme="minorEastAsia" w:cstheme="minorEastAsia"/>
          <w:color w:val="auto"/>
          <w:sz w:val="28"/>
          <w:szCs w:val="28"/>
        </w:rPr>
        <w:t>无形资产是指不具有实物形态而能为使用者提供某种权利的资产，包括专利权、商标权、著作权、土地使用权、非专利技术、外购商誉以及其他财产权利。学校的无形资产，应当按照有关规定进行管理，转让取得的收入计入有关收入科目。取得无形资产发生的支出，列入有关支出科目。无形资产需要按年限摊销的，按国家有关规定办理。</w:t>
      </w:r>
    </w:p>
    <w:p w14:paraId="03EC94F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第二十六条  </w:t>
      </w:r>
      <w:r>
        <w:rPr>
          <w:rFonts w:hint="eastAsia" w:asciiTheme="minorEastAsia" w:hAnsiTheme="minorEastAsia" w:eastAsiaTheme="minorEastAsia" w:cstheme="minorEastAsia"/>
          <w:color w:val="auto"/>
          <w:sz w:val="28"/>
          <w:szCs w:val="28"/>
        </w:rPr>
        <w:t>对外投资是学校利用货币资金、实物、无形资产等向校办产业或其他与办学相关的投资。学校对外投资，应当进行充分论证，在确保资金安全的前提下讲求投资效益。数额较大的，应经学校理事会批准，并报教育主管部门备案。以实物、无形资产对外投资的，应当按有关规定进行资产评估。对外投资取得的收益，计入其他收入，国家另有规定者除外。</w:t>
      </w:r>
    </w:p>
    <w:p w14:paraId="2C24E0B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第二十七条  </w:t>
      </w:r>
      <w:r>
        <w:rPr>
          <w:rFonts w:hint="eastAsia" w:asciiTheme="minorEastAsia" w:hAnsiTheme="minorEastAsia" w:eastAsiaTheme="minorEastAsia" w:cstheme="minorEastAsia"/>
          <w:color w:val="auto"/>
          <w:sz w:val="28"/>
          <w:szCs w:val="28"/>
        </w:rPr>
        <w:t>学校在存续期间，可以依法管理和使用其资产，任何组织和个人不得侵占民办学校的资产。禁止学校为外单位提供经济担保或财产抵押。学校因校舍建设，以校产担保或抵押向银行申请贷款的，须经校理事会批准。</w:t>
      </w:r>
    </w:p>
    <w:p w14:paraId="02CDCA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第八章  负债管理</w:t>
      </w:r>
    </w:p>
    <w:p w14:paraId="5E2997B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第二十八条  </w:t>
      </w:r>
      <w:r>
        <w:rPr>
          <w:rFonts w:hint="eastAsia" w:asciiTheme="minorEastAsia" w:hAnsiTheme="minorEastAsia" w:eastAsiaTheme="minorEastAsia" w:cstheme="minorEastAsia"/>
          <w:color w:val="auto"/>
          <w:sz w:val="28"/>
          <w:szCs w:val="28"/>
        </w:rPr>
        <w:t>负债是指学校所承担的能以货币计量、需要用资产或劳务偿还的债务。</w:t>
      </w:r>
    </w:p>
    <w:p w14:paraId="7215B02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第二十九条 </w:t>
      </w:r>
      <w:r>
        <w:rPr>
          <w:rFonts w:hint="eastAsia" w:asciiTheme="minorEastAsia" w:hAnsiTheme="minorEastAsia" w:eastAsiaTheme="minorEastAsia" w:cstheme="minorEastAsia"/>
          <w:color w:val="auto"/>
          <w:sz w:val="28"/>
          <w:szCs w:val="28"/>
        </w:rPr>
        <w:t xml:space="preserve"> 学校的债务包括借入款项、应付账款、其他应付款、应交税金、预收账款、代管款项等。</w:t>
      </w:r>
    </w:p>
    <w:p w14:paraId="491975F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第三十条  </w:t>
      </w:r>
      <w:r>
        <w:rPr>
          <w:rFonts w:hint="eastAsia" w:asciiTheme="minorEastAsia" w:hAnsiTheme="minorEastAsia" w:eastAsiaTheme="minorEastAsia" w:cstheme="minorEastAsia"/>
          <w:color w:val="auto"/>
          <w:sz w:val="28"/>
          <w:szCs w:val="28"/>
        </w:rPr>
        <w:t>代管款项下设特种资金，特种资金包括国家奖学金助学金、国家困难学生补助和入伍补助。代管款项专账管理，专款专用，不得挪用、挤占。</w:t>
      </w:r>
    </w:p>
    <w:p w14:paraId="773438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学校应当对不同性质的负债分别管理，及时清理并按照规定办理结算，保证各类负债在规定期限内归还。</w:t>
      </w:r>
    </w:p>
    <w:p w14:paraId="369DCD68">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第九章  财务会计报告和财务分析</w:t>
      </w:r>
    </w:p>
    <w:p w14:paraId="7212C90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第三十二条  </w:t>
      </w:r>
      <w:r>
        <w:rPr>
          <w:rFonts w:hint="eastAsia" w:asciiTheme="minorEastAsia" w:hAnsiTheme="minorEastAsia" w:eastAsiaTheme="minorEastAsia" w:cstheme="minorEastAsia"/>
          <w:color w:val="auto"/>
          <w:sz w:val="28"/>
          <w:szCs w:val="28"/>
        </w:rPr>
        <w:t>财务会计报告，是学校反映一定时期财务状况和</w:t>
      </w:r>
      <w:r>
        <w:rPr>
          <w:rFonts w:hint="eastAsia" w:asciiTheme="minorEastAsia" w:hAnsiTheme="minorEastAsia" w:cstheme="minorEastAsia"/>
          <w:color w:val="auto"/>
          <w:sz w:val="28"/>
          <w:szCs w:val="28"/>
          <w:lang w:val="en-US" w:eastAsia="zh-CN"/>
        </w:rPr>
        <w:t>经营</w:t>
      </w:r>
      <w:r>
        <w:rPr>
          <w:rFonts w:hint="eastAsia" w:asciiTheme="minorEastAsia" w:hAnsiTheme="minorEastAsia" w:eastAsiaTheme="minorEastAsia" w:cstheme="minorEastAsia"/>
          <w:color w:val="auto"/>
          <w:sz w:val="28"/>
          <w:szCs w:val="28"/>
        </w:rPr>
        <w:t>成果的书面文件。</w:t>
      </w:r>
    </w:p>
    <w:p w14:paraId="76CE63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学校应当定期、如实地向举办者、教育主管部门和其他有关部门提供财务会计报告。</w:t>
      </w:r>
    </w:p>
    <w:p w14:paraId="221A872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第三十三条  </w:t>
      </w:r>
      <w:r>
        <w:rPr>
          <w:rFonts w:hint="eastAsia" w:asciiTheme="minorEastAsia" w:hAnsiTheme="minorEastAsia" w:eastAsiaTheme="minorEastAsia" w:cstheme="minorEastAsia"/>
          <w:color w:val="auto"/>
          <w:sz w:val="28"/>
          <w:szCs w:val="28"/>
        </w:rPr>
        <w:t>学校财务会计报告包括资产负债表、业务活动表、现金流量表以及有关报表附注及财务情况说明书。</w:t>
      </w:r>
    </w:p>
    <w:p w14:paraId="0164AB2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第三十四条  </w:t>
      </w:r>
      <w:r>
        <w:rPr>
          <w:rFonts w:hint="eastAsia" w:asciiTheme="minorEastAsia" w:hAnsiTheme="minorEastAsia" w:eastAsiaTheme="minorEastAsia" w:cstheme="minorEastAsia"/>
          <w:color w:val="auto"/>
          <w:sz w:val="28"/>
          <w:szCs w:val="28"/>
        </w:rPr>
        <w:t>财务情况说明书，主要说明学校收入及其支出、净收益及其分配使用、资产负债变动、现金流量变动情况，对本期或下期财务状况发生重大影响的事项，以及需要说明的其他事项。</w:t>
      </w:r>
    </w:p>
    <w:p w14:paraId="29B51D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学校为自身发展向银行提供的资产抵押或经济担保、未决诉讼等或有事项，应当按国家统一的会计制度规定，在财务会计报告中说明。</w:t>
      </w:r>
    </w:p>
    <w:p w14:paraId="4EDB882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第三十五条  </w:t>
      </w:r>
      <w:r>
        <w:rPr>
          <w:rFonts w:hint="eastAsia" w:asciiTheme="minorEastAsia" w:hAnsiTheme="minorEastAsia" w:eastAsiaTheme="minorEastAsia" w:cstheme="minorEastAsia"/>
          <w:color w:val="auto"/>
          <w:sz w:val="28"/>
          <w:szCs w:val="28"/>
        </w:rPr>
        <w:t>学校年度财务会计报告和财务分析报告，应当经财务处负责人、法定代表人审核，同时签名并盖章。学校年度财务会计报告须经注册会计师审计并出具书面审计报告。学校应当在年度终了后二个月内将年度财务会计报告和审计报告一并上报教育主管部门和有关报表使用者。</w:t>
      </w:r>
    </w:p>
    <w:p w14:paraId="3ED59B3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第十章  财务监督</w:t>
      </w:r>
    </w:p>
    <w:p w14:paraId="4045F15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第三十六条  </w:t>
      </w:r>
      <w:r>
        <w:rPr>
          <w:rFonts w:hint="eastAsia" w:asciiTheme="minorEastAsia" w:hAnsiTheme="minorEastAsia" w:eastAsiaTheme="minorEastAsia" w:cstheme="minorEastAsia"/>
          <w:color w:val="auto"/>
          <w:sz w:val="28"/>
          <w:szCs w:val="28"/>
        </w:rPr>
        <w:t>学校应当按照《中华人民共和国会计法》规定建立、健全内部财务会计制度，规范校内财务会计秩序。学校会计人员、财物保管人员、业务经办人员、审批人员的职责权限应当明确，并相互分离、相互制约。</w:t>
      </w:r>
    </w:p>
    <w:p w14:paraId="45A7225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第三十七条  </w:t>
      </w:r>
      <w:r>
        <w:rPr>
          <w:rFonts w:hint="eastAsia" w:asciiTheme="minorEastAsia" w:hAnsiTheme="minorEastAsia" w:eastAsiaTheme="minorEastAsia" w:cstheme="minorEastAsia"/>
          <w:color w:val="auto"/>
          <w:sz w:val="28"/>
          <w:szCs w:val="28"/>
        </w:rPr>
        <w:t>教育主管部门依法对学校的财务会计工作实施监督。学校应当依照有关法律、行政法规的规定，接受有关部门的监督检查，如实提供会计凭证、会计账簿、财务会计报告、其他会计资料以及有关情况，不得拒绝、隐匿和谎报。</w:t>
      </w:r>
    </w:p>
    <w:p w14:paraId="3B7CFC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第十一章  附则</w:t>
      </w:r>
    </w:p>
    <w:p w14:paraId="3BA4EB7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第三十八条  </w:t>
      </w:r>
      <w:r>
        <w:rPr>
          <w:rFonts w:hint="eastAsia" w:asciiTheme="minorEastAsia" w:hAnsiTheme="minorEastAsia" w:eastAsiaTheme="minorEastAsia" w:cstheme="minorEastAsia"/>
          <w:color w:val="auto"/>
          <w:sz w:val="28"/>
          <w:szCs w:val="28"/>
        </w:rPr>
        <w:t>独立核算的校办产业和后勤产业的财务管理执行相关企业的财务制度，不执行本制度。</w:t>
      </w:r>
    </w:p>
    <w:p w14:paraId="04FB7E3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第三十九条  </w:t>
      </w:r>
      <w:r>
        <w:rPr>
          <w:rFonts w:hint="eastAsia" w:asciiTheme="minorEastAsia" w:hAnsiTheme="minorEastAsia" w:eastAsiaTheme="minorEastAsia" w:cstheme="minorEastAsia"/>
          <w:color w:val="auto"/>
          <w:sz w:val="28"/>
          <w:szCs w:val="28"/>
        </w:rPr>
        <w:t>本制度自颁布之日起执行。</w:t>
      </w:r>
    </w:p>
    <w:p w14:paraId="764FD5FB">
      <w:pPr>
        <w:pageBreakBefore w:val="0"/>
        <w:widowControl w:val="0"/>
        <w:kinsoku/>
        <w:wordWrap/>
        <w:overflowPunct/>
        <w:topLinePunct w:val="0"/>
        <w:autoSpaceDE/>
        <w:autoSpaceDN/>
        <w:bidi w:val="0"/>
        <w:adjustRightInd/>
        <w:spacing w:line="500" w:lineRule="exact"/>
        <w:ind w:firstLine="560" w:firstLineChars="200"/>
        <w:jc w:val="righ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tab/>
      </w:r>
    </w:p>
    <w:p w14:paraId="6796B4AE">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4A676660">
      <w:pPr>
        <w:pStyle w:val="25"/>
        <w:keepNext/>
        <w:keepLines/>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bCs w:val="0"/>
          <w:color w:val="auto"/>
          <w:sz w:val="32"/>
          <w:szCs w:val="32"/>
        </w:rPr>
      </w:pPr>
      <w:bookmarkStart w:id="7" w:name="_Toc3442"/>
      <w:bookmarkStart w:id="8" w:name="_Toc14414"/>
      <w:bookmarkStart w:id="9" w:name="_Toc22789"/>
      <w:r>
        <w:rPr>
          <w:rFonts w:hint="eastAsia" w:asciiTheme="minorEastAsia" w:hAnsiTheme="minorEastAsia" w:eastAsiaTheme="minorEastAsia" w:cstheme="minorEastAsia"/>
          <w:b/>
          <w:bCs w:val="0"/>
          <w:color w:val="auto"/>
          <w:sz w:val="32"/>
          <w:szCs w:val="32"/>
          <w:lang w:val="en-US" w:eastAsia="zh-CN"/>
        </w:rPr>
        <w:t>2.</w:t>
      </w:r>
      <w:r>
        <w:rPr>
          <w:rFonts w:hint="eastAsia" w:asciiTheme="minorEastAsia" w:hAnsiTheme="minorEastAsia" w:cstheme="minorEastAsia"/>
          <w:b/>
          <w:bCs w:val="0"/>
          <w:color w:val="auto"/>
          <w:sz w:val="32"/>
          <w:szCs w:val="32"/>
          <w:lang w:val="en-US" w:eastAsia="zh-CN"/>
        </w:rPr>
        <w:t>6</w:t>
      </w:r>
      <w:r>
        <w:rPr>
          <w:rFonts w:hint="eastAsia" w:asciiTheme="minorEastAsia" w:hAnsiTheme="minorEastAsia" w:eastAsiaTheme="minorEastAsia" w:cstheme="minorEastAsia"/>
          <w:b/>
          <w:bCs w:val="0"/>
          <w:color w:val="auto"/>
          <w:sz w:val="32"/>
          <w:szCs w:val="32"/>
          <w:lang w:val="en-US" w:eastAsia="zh-CN"/>
        </w:rPr>
        <w:t>.</w:t>
      </w:r>
      <w:r>
        <w:rPr>
          <w:rFonts w:hint="eastAsia" w:asciiTheme="minorEastAsia" w:hAnsiTheme="minorEastAsia" w:cstheme="minorEastAsia"/>
          <w:b/>
          <w:bCs w:val="0"/>
          <w:color w:val="auto"/>
          <w:sz w:val="32"/>
          <w:szCs w:val="32"/>
          <w:lang w:val="en-US" w:eastAsia="zh-CN"/>
        </w:rPr>
        <w:t>3</w:t>
      </w:r>
      <w:r>
        <w:rPr>
          <w:rFonts w:hint="eastAsia" w:asciiTheme="minorEastAsia" w:hAnsiTheme="minorEastAsia" w:cstheme="minorEastAsia"/>
          <w:b/>
          <w:bCs w:val="0"/>
          <w:color w:val="auto"/>
          <w:sz w:val="32"/>
          <w:szCs w:val="32"/>
          <w:lang w:eastAsia="zh-CN"/>
        </w:rPr>
        <w:t>九江科技职业大学</w:t>
      </w:r>
      <w:r>
        <w:rPr>
          <w:rFonts w:hint="eastAsia" w:asciiTheme="minorEastAsia" w:hAnsiTheme="minorEastAsia" w:eastAsiaTheme="minorEastAsia" w:cstheme="minorEastAsia"/>
          <w:b/>
          <w:bCs w:val="0"/>
          <w:color w:val="auto"/>
          <w:sz w:val="32"/>
          <w:szCs w:val="32"/>
        </w:rPr>
        <w:t>财务监督管理制度</w:t>
      </w:r>
      <w:bookmarkEnd w:id="7"/>
      <w:bookmarkEnd w:id="8"/>
      <w:bookmarkEnd w:id="9"/>
    </w:p>
    <w:p w14:paraId="02901804">
      <w:pPr>
        <w:pStyle w:val="25"/>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第一章  总则</w:t>
      </w:r>
    </w:p>
    <w:p w14:paraId="0566C0D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第一条  </w:t>
      </w:r>
      <w:r>
        <w:rPr>
          <w:rFonts w:hint="eastAsia" w:asciiTheme="minorEastAsia" w:hAnsiTheme="minorEastAsia" w:eastAsiaTheme="minorEastAsia" w:cstheme="minorEastAsia"/>
          <w:color w:val="auto"/>
          <w:sz w:val="28"/>
          <w:szCs w:val="28"/>
        </w:rPr>
        <w:t>为加强学校财务管理，规范学校各项经济活动的合法性、合理性，进一步提高学校财务管理的透明度和民主化，保障教育事业健康可持续发展，依据《中华人民共和国会计法》《民间非营利组织会计制度》等法律、法规，结合我校实际，特制定本校财务监督管理制度。</w:t>
      </w:r>
    </w:p>
    <w:p w14:paraId="33E618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第二章  财务监督机构职责和目标</w:t>
      </w:r>
    </w:p>
    <w:p w14:paraId="4F6FE96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第二条  </w:t>
      </w:r>
      <w:r>
        <w:rPr>
          <w:rFonts w:hint="eastAsia" w:asciiTheme="minorEastAsia" w:hAnsiTheme="minorEastAsia" w:eastAsiaTheme="minorEastAsia" w:cstheme="minorEastAsia"/>
          <w:color w:val="auto"/>
          <w:sz w:val="28"/>
          <w:szCs w:val="28"/>
        </w:rPr>
        <w:t>校理事会、监事会、校务委员会等按《</w:t>
      </w:r>
      <w:r>
        <w:rPr>
          <w:rFonts w:hint="eastAsia" w:asciiTheme="minorEastAsia" w:hAnsiTheme="minorEastAsia" w:cstheme="minorEastAsia"/>
          <w:color w:val="auto"/>
          <w:sz w:val="28"/>
          <w:szCs w:val="28"/>
          <w:lang w:eastAsia="zh-CN"/>
        </w:rPr>
        <w:t>九江科技职业大学</w:t>
      </w:r>
      <w:r>
        <w:rPr>
          <w:rFonts w:hint="eastAsia" w:asciiTheme="minorEastAsia" w:hAnsiTheme="minorEastAsia" w:eastAsiaTheme="minorEastAsia" w:cstheme="minorEastAsia"/>
          <w:color w:val="auto"/>
          <w:sz w:val="28"/>
          <w:szCs w:val="28"/>
        </w:rPr>
        <w:t>章程》的规定各施其责；学校财务处、审计处、纪检监察处等相关职能部门设立相应岗位并承担相关职责，对财务内部监督控制运行情况进行检查监督，并履行报告义务。</w:t>
      </w:r>
    </w:p>
    <w:p w14:paraId="3CEC3CC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第三条  </w:t>
      </w:r>
      <w:r>
        <w:rPr>
          <w:rFonts w:hint="eastAsia" w:asciiTheme="minorEastAsia" w:hAnsiTheme="minorEastAsia" w:eastAsiaTheme="minorEastAsia" w:cstheme="minorEastAsia"/>
          <w:color w:val="auto"/>
          <w:sz w:val="28"/>
          <w:szCs w:val="28"/>
        </w:rPr>
        <w:t>监督管理目标</w:t>
      </w:r>
    </w:p>
    <w:p w14:paraId="1B580BB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监督学校各部门严格遵守国家财经法规和学校各项财务规章制度，确保学校运行合法、合规；</w:t>
      </w:r>
    </w:p>
    <w:p w14:paraId="14C91E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保障各类资产的安全、完整；</w:t>
      </w:r>
    </w:p>
    <w:p w14:paraId="5DF6CC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保证财务记录、财务报告和其他信息的及时、真实和完整；</w:t>
      </w:r>
    </w:p>
    <w:p w14:paraId="562D9D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提高学校运行效率和效益，促进学校实现发展战略。</w:t>
      </w:r>
    </w:p>
    <w:p w14:paraId="5403E1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第三章  财务监督机构的权利与义务</w:t>
      </w:r>
    </w:p>
    <w:p w14:paraId="4832EEF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第四条  </w:t>
      </w:r>
      <w:r>
        <w:rPr>
          <w:rFonts w:hint="eastAsia" w:asciiTheme="minorEastAsia" w:hAnsiTheme="minorEastAsia" w:eastAsiaTheme="minorEastAsia" w:cstheme="minorEastAsia"/>
          <w:color w:val="auto"/>
          <w:sz w:val="28"/>
          <w:szCs w:val="28"/>
        </w:rPr>
        <w:t>财务监督部门负责组织实施学校内部财务监督，并依据国家财经法规和学校各项财务规章制度对全校的经济活动实施财务监督。</w:t>
      </w:r>
    </w:p>
    <w:p w14:paraId="6C56C4C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第五条  </w:t>
      </w:r>
      <w:r>
        <w:rPr>
          <w:rFonts w:hint="eastAsia" w:asciiTheme="minorEastAsia" w:hAnsiTheme="minorEastAsia" w:eastAsiaTheme="minorEastAsia" w:cstheme="minorEastAsia"/>
          <w:color w:val="auto"/>
          <w:sz w:val="28"/>
          <w:szCs w:val="28"/>
        </w:rPr>
        <w:t>学校财务监督部门可以根据需要，聘请有关专业机构或者专业人员协助监督检查。</w:t>
      </w:r>
    </w:p>
    <w:p w14:paraId="324149C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第六条  </w:t>
      </w:r>
      <w:r>
        <w:rPr>
          <w:rFonts w:hint="eastAsia" w:asciiTheme="minorEastAsia" w:hAnsiTheme="minorEastAsia" w:eastAsiaTheme="minorEastAsia" w:cstheme="minorEastAsia"/>
          <w:color w:val="auto"/>
          <w:sz w:val="28"/>
          <w:szCs w:val="28"/>
        </w:rPr>
        <w:t>全校各单位在接受学校财务监督过程中，被监督单位的有关人员必须如实提供财务会计资料及相关情况，不得拒绝、隐匿、谎报。</w:t>
      </w:r>
    </w:p>
    <w:p w14:paraId="347556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第四章  财务监督的内容</w:t>
      </w:r>
    </w:p>
    <w:p w14:paraId="227D59C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第七条  </w:t>
      </w:r>
      <w:r>
        <w:rPr>
          <w:rFonts w:hint="eastAsia" w:asciiTheme="minorEastAsia" w:hAnsiTheme="minorEastAsia" w:eastAsiaTheme="minorEastAsia" w:cstheme="minorEastAsia"/>
          <w:color w:val="auto"/>
          <w:sz w:val="28"/>
          <w:szCs w:val="28"/>
        </w:rPr>
        <w:t>监督学校制定的各项</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"https://baike.so.com/doc/5418023-5656182.html" \t "_blank"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财务制度</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、规章、考核办法等一系列的约束制度能否在实际财务工作中得到有效</w:t>
      </w:r>
      <w:r>
        <w:rPr>
          <w:rFonts w:hint="eastAsia" w:asciiTheme="minorEastAsia" w:hAnsiTheme="minorEastAsia" w:cstheme="minorEastAsia"/>
          <w:color w:val="auto"/>
          <w:sz w:val="28"/>
          <w:szCs w:val="28"/>
          <w:highlight w:val="none"/>
          <w:lang w:eastAsia="zh-CN"/>
        </w:rPr>
        <w:t>地</w:t>
      </w:r>
      <w:r>
        <w:rPr>
          <w:rFonts w:hint="eastAsia" w:asciiTheme="minorEastAsia" w:hAnsiTheme="minorEastAsia" w:eastAsiaTheme="minorEastAsia" w:cstheme="minorEastAsia"/>
          <w:color w:val="auto"/>
          <w:sz w:val="28"/>
          <w:szCs w:val="28"/>
        </w:rPr>
        <w:t>贯彻执行。</w:t>
      </w:r>
    </w:p>
    <w:p w14:paraId="61B770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财务监督的主要内容包括：预算管理、收入支出管理、资金管理、资产管理、投资管理、会计核算、财务信息、审计及制度建设等。</w:t>
      </w:r>
    </w:p>
    <w:p w14:paraId="39D02C6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第八条</w:t>
      </w:r>
      <w:r>
        <w:rPr>
          <w:rFonts w:hint="eastAsia" w:asciiTheme="minorEastAsia" w:hAnsiTheme="minorEastAsia" w:eastAsiaTheme="minorEastAsia" w:cstheme="minorEastAsia"/>
          <w:color w:val="auto"/>
          <w:sz w:val="28"/>
          <w:szCs w:val="28"/>
        </w:rPr>
        <w:t xml:space="preserve"> 预算编制与执行的财务监督</w:t>
      </w:r>
    </w:p>
    <w:p w14:paraId="6A89AD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按照科学性、真实性、完整性、合理合法性的原则编制预算，合理安排预算资金，保证重点、注重效益，确保资金使用效率最优化。</w:t>
      </w:r>
    </w:p>
    <w:p w14:paraId="15020C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严格执行预算，财务部门定期对预算执行情况进行检查、分析，并针对执行过程中存在的问题，及时采取相应措施，保证预算执行的有效性、均衡性；加强对预算执行考核评价制度的建立，对各部门预算执行效果进行考核并及时通报；建立预算监督管理机构，进一步提高预算控制力和执行力。</w:t>
      </w:r>
    </w:p>
    <w:p w14:paraId="5F1FF54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第九条  </w:t>
      </w:r>
      <w:r>
        <w:rPr>
          <w:rFonts w:hint="eastAsia" w:asciiTheme="minorEastAsia" w:hAnsiTheme="minorEastAsia" w:eastAsiaTheme="minorEastAsia" w:cstheme="minorEastAsia"/>
          <w:color w:val="auto"/>
          <w:sz w:val="28"/>
          <w:szCs w:val="28"/>
        </w:rPr>
        <w:t>收入和支出的财务监督</w:t>
      </w:r>
    </w:p>
    <w:p w14:paraId="7C8EB8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必须严格依照国家政策法规和学校有关规章制度，在合法合理的范围和标准内组织收入，不得违规收费，不得擅自扩大或缩小收费范围，任意提高或降低收费标准；学校的所有收入必须全部纳入财务预算，统一核算和管理，任何单位不得隐瞒、截留、挪用、坐支和私分。</w:t>
      </w:r>
    </w:p>
    <w:p w14:paraId="200D0F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必须严格依照国家政策法规和学校有关规章制度，严格按照预算规定的范围、内容和标准开支，不得擅自扩大范围与标准在预算外乱支乱用、假公济私与贪污盗窃；财会人员对各项开支必须按实际发生正确归集、列支，不得虚列虚报；专项经费必须按照规定要求，专款专用，不得擅自挪用。</w:t>
      </w:r>
    </w:p>
    <w:p w14:paraId="51B52A2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第十条  </w:t>
      </w:r>
      <w:r>
        <w:rPr>
          <w:rFonts w:hint="eastAsia" w:asciiTheme="minorEastAsia" w:hAnsiTheme="minorEastAsia" w:eastAsiaTheme="minorEastAsia" w:cstheme="minorEastAsia"/>
          <w:color w:val="auto"/>
          <w:sz w:val="28"/>
          <w:szCs w:val="28"/>
        </w:rPr>
        <w:t>资金的财务监督</w:t>
      </w:r>
    </w:p>
    <w:p w14:paraId="605184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学校必须严格依照国家政策法规和学校有关规章制度管理和使用资金。不得超过定额范围使用各类周转金；不得超出现金管理规定的范围使用现金；库存现金超过规定范围及时送存银行；不得随意借支、挪用、白条抵现以及套取现金；不得私设小金库。 </w:t>
      </w:r>
    </w:p>
    <w:p w14:paraId="2A9F73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加强借支及预付款的监督管理。各单位要及时按规定办理所借款项的冲销和归还；财务监督部门和财务人员必须对借出款项及时催收催报，并采取相应措施，对呆账和坏账及时处理解决。</w:t>
      </w:r>
    </w:p>
    <w:p w14:paraId="6D06362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第十一条  </w:t>
      </w:r>
      <w:r>
        <w:rPr>
          <w:rFonts w:hint="eastAsia" w:asciiTheme="minorEastAsia" w:hAnsiTheme="minorEastAsia" w:eastAsiaTheme="minorEastAsia" w:cstheme="minorEastAsia"/>
          <w:color w:val="auto"/>
          <w:sz w:val="28"/>
          <w:szCs w:val="28"/>
        </w:rPr>
        <w:t>资产的财务监督</w:t>
      </w:r>
    </w:p>
    <w:p w14:paraId="305E83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学校必须严格依照国家政策法规和学校有关规章制度，对资产的购进、验收、入库、领用、报损、转让、出售、登记等进行监督，保障资产账目完整，防止资产流失。</w:t>
      </w:r>
    </w:p>
    <w:p w14:paraId="10F495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立健全资产管理制度，按规定登记造册，落实资产保管责任人，杜绝管理不善、违规操作、使用不当、乱堆乱放、损失浪费和偷盗发生；加强对资产的维修、保养、检查，提高资产率；定期或不定期实地清查、盘点，保证财实相符，对有账无物、有物无账问题，查明原因，并追究相关人员责任。</w:t>
      </w:r>
    </w:p>
    <w:p w14:paraId="26730DC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第十二条 </w:t>
      </w:r>
      <w:r>
        <w:rPr>
          <w:rFonts w:hint="eastAsia" w:asciiTheme="minorEastAsia" w:hAnsiTheme="minorEastAsia" w:eastAsiaTheme="minorEastAsia" w:cstheme="minorEastAsia"/>
          <w:color w:val="auto"/>
          <w:sz w:val="28"/>
          <w:szCs w:val="28"/>
        </w:rPr>
        <w:t xml:space="preserve"> 对外投资的财务监督</w:t>
      </w:r>
    </w:p>
    <w:p w14:paraId="009D3F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建立对外投资的监督检查制度，明确监督检查机构或人员的职责权限，保障所投资产的安全完整，实现资产的保值增值。</w:t>
      </w:r>
    </w:p>
    <w:p w14:paraId="328ECC3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第十三条  </w:t>
      </w:r>
      <w:r>
        <w:rPr>
          <w:rFonts w:hint="eastAsia" w:asciiTheme="minorEastAsia" w:hAnsiTheme="minorEastAsia" w:eastAsiaTheme="minorEastAsia" w:cstheme="minorEastAsia"/>
          <w:color w:val="auto"/>
          <w:sz w:val="28"/>
          <w:szCs w:val="28"/>
        </w:rPr>
        <w:t>会计核算与财务信息的财务监督</w:t>
      </w:r>
    </w:p>
    <w:p w14:paraId="238777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会计凭证、会计账簿和会计报表等会计资料进行监督，以保证会计资料的真实、准确、完整、合法；对资金及各类财产进行监督，以保证资金、财产安全完整与合理使用；对财务收支进行监督，以保证财务收支符合财务制度的规定；对经济合同、预算及其他重要财务信息进行监督，以保证经济管理活动的科学、合理。</w:t>
      </w:r>
    </w:p>
    <w:p w14:paraId="5213F68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第十四条 </w:t>
      </w:r>
      <w:r>
        <w:rPr>
          <w:rFonts w:hint="eastAsia" w:asciiTheme="minorEastAsia" w:hAnsiTheme="minorEastAsia" w:eastAsiaTheme="minorEastAsia" w:cstheme="minorEastAsia"/>
          <w:color w:val="auto"/>
          <w:sz w:val="28"/>
          <w:szCs w:val="28"/>
        </w:rPr>
        <w:t xml:space="preserve"> 审计的财务监督</w:t>
      </w:r>
    </w:p>
    <w:p w14:paraId="2D96E6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审计包括内部审计和外部审计。</w:t>
      </w:r>
    </w:p>
    <w:p w14:paraId="298A14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学校在赋予内部审计人员足够的权力的同时，加强对内部审计人员的行业自律教育、专业培训与引导，以保证审计的独立性、公正性、真实性，从而提高内部审计的效率和效果。</w:t>
      </w:r>
    </w:p>
    <w:p w14:paraId="6B0BAC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通过内部审计，完善并强化学校内控管理制度，及时发现问题并解决问题；堵塞管理漏洞，减少损失，保护资产的安全与完整；提高会计资料的真实性、准确性；对各部门经济活动作出客观、公正的审计结论和意见，为财务决策提供评价和指导作用。</w:t>
      </w:r>
    </w:p>
    <w:p w14:paraId="6518D1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每年接受审计专门服务机构的外部审计，并不定期接受财政、税务等部门的专项检查，通过外部审计、检查，形成有效的监督合力，进一步确保了学校的利益和财产安全，加强和完善了学校的财务管理，对促进学校健康发展起到了积极的推进作用。</w:t>
      </w:r>
    </w:p>
    <w:p w14:paraId="10ADC0C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第十五条  </w:t>
      </w:r>
      <w:r>
        <w:rPr>
          <w:rFonts w:hint="eastAsia" w:asciiTheme="minorEastAsia" w:hAnsiTheme="minorEastAsia" w:eastAsiaTheme="minorEastAsia" w:cstheme="minorEastAsia"/>
          <w:color w:val="auto"/>
          <w:sz w:val="28"/>
          <w:szCs w:val="28"/>
        </w:rPr>
        <w:t>制度建设的财务监督</w:t>
      </w:r>
    </w:p>
    <w:p w14:paraId="2AB058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建立和完善适合本校财务管理的各项内控制度，以预防控制为主、事后控制为辅，形成对</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"https://baike.so.com/doc/5715620-5928346.html" \t "_blank"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财务</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活动的日常约束和监督，保证</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"https://baike.so.com/doc/5715583-5928309.html" \t "_blank"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财务信息</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的真实。同时建立风险防范机制，及时识别和化解</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"https://baike.so.com/doc/3843729-4035935.html" \t "_blank"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财务风险</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，提高财务运行的安全性。</w:t>
      </w:r>
    </w:p>
    <w:p w14:paraId="42556B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第五章  财务监督的方法和形式</w:t>
      </w:r>
    </w:p>
    <w:p w14:paraId="39E62C7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第十六条  </w:t>
      </w:r>
      <w:r>
        <w:rPr>
          <w:rFonts w:hint="eastAsia" w:asciiTheme="minorEastAsia" w:hAnsiTheme="minorEastAsia" w:eastAsiaTheme="minorEastAsia" w:cstheme="minorEastAsia"/>
          <w:color w:val="auto"/>
          <w:sz w:val="28"/>
          <w:szCs w:val="28"/>
        </w:rPr>
        <w:t>财务监督的方法包括财务检查、实物检查和现场检查。</w:t>
      </w:r>
    </w:p>
    <w:p w14:paraId="4FA52ED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第十七条 </w:t>
      </w:r>
      <w:r>
        <w:rPr>
          <w:rFonts w:hint="eastAsia" w:asciiTheme="minorEastAsia" w:hAnsiTheme="minorEastAsia" w:eastAsiaTheme="minorEastAsia" w:cstheme="minorEastAsia"/>
          <w:color w:val="auto"/>
          <w:sz w:val="28"/>
          <w:szCs w:val="28"/>
        </w:rPr>
        <w:t xml:space="preserve"> 财务监督的基本形式包括事前监督、事中监督和事后监督；另有定期与不定期监督，日常监督与专项监督等。</w:t>
      </w:r>
    </w:p>
    <w:p w14:paraId="4EA74C8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第十八条 </w:t>
      </w:r>
      <w:r>
        <w:rPr>
          <w:rFonts w:hint="eastAsia" w:asciiTheme="minorEastAsia" w:hAnsiTheme="minorEastAsia" w:eastAsiaTheme="minorEastAsia" w:cstheme="minorEastAsia"/>
          <w:color w:val="auto"/>
          <w:sz w:val="28"/>
          <w:szCs w:val="28"/>
        </w:rPr>
        <w:t xml:space="preserve"> 财务监督部门在实施财务监督过程中，应根据监督对象的具体情况，综合运用不同的监督方法和形式，对被监督单位的经济活动全过程进行监督。</w:t>
      </w:r>
    </w:p>
    <w:p w14:paraId="05C9D2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第六章  附则</w:t>
      </w:r>
    </w:p>
    <w:p w14:paraId="4AE0EDF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第十九条  </w:t>
      </w:r>
      <w:r>
        <w:rPr>
          <w:rFonts w:hint="eastAsia" w:asciiTheme="minorEastAsia" w:hAnsiTheme="minorEastAsia" w:eastAsiaTheme="minorEastAsia" w:cstheme="minorEastAsia"/>
          <w:color w:val="auto"/>
          <w:sz w:val="28"/>
          <w:szCs w:val="28"/>
        </w:rPr>
        <w:t>本办法由财务处负责解释。</w:t>
      </w:r>
    </w:p>
    <w:p w14:paraId="5FDA72E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xml:space="preserve">第二十条  </w:t>
      </w:r>
      <w:r>
        <w:rPr>
          <w:rFonts w:hint="eastAsia" w:asciiTheme="minorEastAsia" w:hAnsiTheme="minorEastAsia" w:eastAsiaTheme="minorEastAsia" w:cstheme="minorEastAsia"/>
          <w:color w:val="auto"/>
          <w:sz w:val="28"/>
          <w:szCs w:val="28"/>
        </w:rPr>
        <w:t>本制度自下发之日起执行。</w:t>
      </w:r>
    </w:p>
    <w:p w14:paraId="098720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p>
    <w:p w14:paraId="5587CA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p>
    <w:p w14:paraId="439482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p>
    <w:p w14:paraId="67135EA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p>
    <w:p w14:paraId="6A9C05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p>
    <w:p w14:paraId="6A93A4B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bookmarkStart w:id="10" w:name="_GoBack"/>
      <w:bookmarkEnd w:id="10"/>
    </w:p>
    <w:p w14:paraId="376454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rPr>
      </w:pPr>
    </w:p>
    <w:p w14:paraId="4B635F49">
      <w:pPr>
        <w:pStyle w:val="25"/>
        <w:keepNext/>
        <w:keepLines/>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val="0"/>
          <w:color w:val="auto"/>
          <w:sz w:val="32"/>
          <w:szCs w:val="32"/>
          <w:lang w:val="en-US" w:eastAsia="zh-CN"/>
        </w:rPr>
        <w:t>2.</w:t>
      </w:r>
      <w:r>
        <w:rPr>
          <w:rFonts w:hint="eastAsia" w:asciiTheme="minorEastAsia" w:hAnsiTheme="minorEastAsia" w:cstheme="minorEastAsia"/>
          <w:b/>
          <w:bCs w:val="0"/>
          <w:color w:val="auto"/>
          <w:sz w:val="32"/>
          <w:szCs w:val="32"/>
          <w:lang w:val="en-US" w:eastAsia="zh-CN"/>
        </w:rPr>
        <w:t>6</w:t>
      </w:r>
      <w:r>
        <w:rPr>
          <w:rFonts w:hint="eastAsia" w:asciiTheme="minorEastAsia" w:hAnsiTheme="minorEastAsia" w:eastAsiaTheme="minorEastAsia" w:cstheme="minorEastAsia"/>
          <w:b/>
          <w:bCs w:val="0"/>
          <w:color w:val="auto"/>
          <w:sz w:val="32"/>
          <w:szCs w:val="32"/>
          <w:lang w:val="en-US" w:eastAsia="zh-CN"/>
        </w:rPr>
        <w:t>.</w:t>
      </w:r>
      <w:r>
        <w:rPr>
          <w:rFonts w:hint="eastAsia" w:asciiTheme="minorEastAsia" w:hAnsiTheme="minorEastAsia" w:cstheme="minorEastAsia"/>
          <w:b/>
          <w:bCs w:val="0"/>
          <w:color w:val="auto"/>
          <w:sz w:val="32"/>
          <w:szCs w:val="32"/>
          <w:lang w:val="en-US" w:eastAsia="zh-CN"/>
        </w:rPr>
        <w:t>4</w:t>
      </w:r>
      <w:r>
        <w:rPr>
          <w:rFonts w:hint="eastAsia" w:asciiTheme="minorEastAsia" w:hAnsiTheme="minorEastAsia" w:cstheme="minorEastAsia"/>
          <w:b/>
          <w:bCs w:val="0"/>
          <w:color w:val="auto"/>
          <w:sz w:val="32"/>
          <w:szCs w:val="32"/>
          <w:lang w:eastAsia="zh-CN"/>
        </w:rPr>
        <w:t>九江科技职业大学</w:t>
      </w:r>
      <w:r>
        <w:rPr>
          <w:rFonts w:hint="eastAsia" w:asciiTheme="minorEastAsia" w:hAnsiTheme="minorEastAsia" w:cstheme="minorEastAsia"/>
          <w:b/>
          <w:bCs w:val="0"/>
          <w:color w:val="auto"/>
          <w:sz w:val="32"/>
          <w:szCs w:val="32"/>
          <w:lang w:val="en-US" w:eastAsia="zh-CN"/>
        </w:rPr>
        <w:t>接爱捐赠管理办法</w:t>
      </w:r>
    </w:p>
    <w:p w14:paraId="4DFB0156">
      <w:pPr>
        <w:pStyle w:val="25"/>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第一章  总则</w:t>
      </w:r>
    </w:p>
    <w:p w14:paraId="56D3EB55">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第一条 </w:t>
      </w:r>
      <w:r>
        <w:rPr>
          <w:rFonts w:hint="eastAsia" w:ascii="仿宋_GB2312" w:hAnsi="仿宋_GB2312" w:eastAsia="仿宋_GB2312" w:cs="仿宋_GB2312"/>
          <w:color w:val="auto"/>
          <w:sz w:val="28"/>
          <w:szCs w:val="28"/>
        </w:rPr>
        <w:t xml:space="preserve"> 为了加快学校发展，拓宽办学融资渠道，规范捐赠资金和物资的管理，保护捐赠者和学校双方的合法权益，根据《中华人民共和国公益事业捐赠法》及《中华人民共和国高等教育法》《民间非营利组织会计制度》等有关法规的规定，结合本校实际情况，特制定本办法。</w:t>
      </w:r>
    </w:p>
    <w:p w14:paraId="244BC9BD">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sz w:val="28"/>
          <w:szCs w:val="28"/>
        </w:rPr>
        <w:t xml:space="preserve">第二条 </w:t>
      </w:r>
      <w:r>
        <w:rPr>
          <w:rFonts w:hint="eastAsia" w:ascii="仿宋_GB2312" w:hAnsi="仿宋_GB2312" w:eastAsia="仿宋_GB2312" w:cs="仿宋_GB2312"/>
          <w:color w:val="auto"/>
          <w:sz w:val="28"/>
          <w:szCs w:val="28"/>
        </w:rPr>
        <w:t xml:space="preserve"> 接受捐赠遵循自愿、无偿、专款专用和透明公开的原则，禁止强行摊派或者变相摊派。</w:t>
      </w:r>
    </w:p>
    <w:p w14:paraId="0ED9885C">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第二章  组织机构与管理</w:t>
      </w:r>
    </w:p>
    <w:p w14:paraId="7ED5B05A">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第三条  </w:t>
      </w:r>
      <w:r>
        <w:rPr>
          <w:rFonts w:hint="eastAsia" w:ascii="仿宋_GB2312" w:hAnsi="仿宋_GB2312" w:eastAsia="仿宋_GB2312" w:cs="仿宋_GB2312"/>
          <w:color w:val="auto"/>
          <w:sz w:val="28"/>
          <w:szCs w:val="28"/>
          <w:lang w:eastAsia="zh-CN"/>
        </w:rPr>
        <w:t>九江科技职业大学</w:t>
      </w:r>
      <w:r>
        <w:rPr>
          <w:rFonts w:hint="eastAsia" w:ascii="仿宋_GB2312" w:hAnsi="仿宋_GB2312" w:eastAsia="仿宋_GB2312" w:cs="仿宋_GB2312"/>
          <w:color w:val="auto"/>
          <w:sz w:val="28"/>
          <w:szCs w:val="28"/>
        </w:rPr>
        <w:t>校友会为接受捐赠工作的归口管理部门，对学校各类捐赠事项实施统一管理。</w:t>
      </w:r>
    </w:p>
    <w:p w14:paraId="0E7333D3">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学校任何下属部门和个人不得以</w:t>
      </w:r>
      <w:r>
        <w:rPr>
          <w:rFonts w:hint="eastAsia" w:ascii="仿宋_GB2312" w:hAnsi="仿宋_GB2312" w:eastAsia="仿宋_GB2312" w:cs="仿宋_GB2312"/>
          <w:color w:val="auto"/>
          <w:sz w:val="28"/>
          <w:szCs w:val="28"/>
          <w:lang w:eastAsia="zh-CN"/>
        </w:rPr>
        <w:t>九江科技职业大学</w:t>
      </w:r>
      <w:r>
        <w:rPr>
          <w:rFonts w:hint="eastAsia" w:ascii="仿宋_GB2312" w:hAnsi="仿宋_GB2312" w:eastAsia="仿宋_GB2312" w:cs="仿宋_GB2312"/>
          <w:color w:val="auto"/>
          <w:sz w:val="28"/>
          <w:szCs w:val="28"/>
        </w:rPr>
        <w:t>的名义在社会上募集或接受捐赠。</w:t>
      </w:r>
    </w:p>
    <w:p w14:paraId="3A563CC4">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第四条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九江科技职业大学</w:t>
      </w:r>
      <w:r>
        <w:rPr>
          <w:rFonts w:hint="eastAsia" w:ascii="仿宋_GB2312" w:hAnsi="仿宋_GB2312" w:eastAsia="仿宋_GB2312" w:cs="仿宋_GB2312"/>
          <w:color w:val="auto"/>
          <w:sz w:val="28"/>
          <w:szCs w:val="28"/>
        </w:rPr>
        <w:t>校友会对受赠的财物及时登记造册，所有捐赠的资金统一进入指定账号，实行专项管理。对于捐赠者约定具体用途的捐赠资金，实行项目管理，分户核算；对于捐赠者未约定具体用途的捐赠资金，采取设立学校基金的方式集中管理。</w:t>
      </w:r>
    </w:p>
    <w:p w14:paraId="6ABF30EA">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第五条  </w:t>
      </w:r>
      <w:r>
        <w:rPr>
          <w:rFonts w:hint="eastAsia" w:ascii="仿宋_GB2312" w:hAnsi="仿宋_GB2312" w:eastAsia="仿宋_GB2312" w:cs="仿宋_GB2312"/>
          <w:color w:val="auto"/>
          <w:sz w:val="28"/>
          <w:szCs w:val="28"/>
        </w:rPr>
        <w:t>所有捐赠的财物受法律保护，任何单位和个人不得挤占、挪用、侵损。对捐赠财物的使用接受监察审计部门及双代会的监督、审查。</w:t>
      </w:r>
    </w:p>
    <w:p w14:paraId="5F4871C6">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第六条 </w:t>
      </w:r>
      <w:r>
        <w:rPr>
          <w:rFonts w:hint="eastAsia" w:ascii="仿宋_GB2312" w:hAnsi="仿宋_GB2312" w:eastAsia="仿宋_GB2312" w:cs="仿宋_GB2312"/>
          <w:color w:val="auto"/>
          <w:sz w:val="28"/>
          <w:szCs w:val="28"/>
        </w:rPr>
        <w:t xml:space="preserve"> 捐赠资金按照“公开透明、立项管理、择优奖励、择需资助”的原则使用。</w:t>
      </w:r>
    </w:p>
    <w:p w14:paraId="0886F2CA">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第三章  捐赠募集项目及方式</w:t>
      </w:r>
    </w:p>
    <w:p w14:paraId="6F2190DD">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第七条 </w:t>
      </w:r>
      <w:r>
        <w:rPr>
          <w:rFonts w:hint="eastAsia" w:ascii="仿宋_GB2312" w:hAnsi="仿宋_GB2312" w:eastAsia="仿宋_GB2312" w:cs="仿宋_GB2312"/>
          <w:color w:val="auto"/>
          <w:sz w:val="28"/>
          <w:szCs w:val="28"/>
        </w:rPr>
        <w:t xml:space="preserve"> 学校接受货币捐赠或实物捐赠，指定用途捐赠或非指定用途捐赠，冠名捐赠或非冠名捐赠等。具体捐赠方式可根据捐赠者的意愿，由校友会和捐赠人协商确定。</w:t>
      </w:r>
    </w:p>
    <w:p w14:paraId="28E4D42A">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第八条 </w:t>
      </w:r>
      <w:r>
        <w:rPr>
          <w:rFonts w:hint="eastAsia" w:ascii="仿宋_GB2312" w:hAnsi="仿宋_GB2312" w:eastAsia="仿宋_GB2312" w:cs="仿宋_GB2312"/>
          <w:color w:val="auto"/>
          <w:sz w:val="28"/>
          <w:szCs w:val="28"/>
        </w:rPr>
        <w:t xml:space="preserve"> 捐赠项目：</w:t>
      </w:r>
    </w:p>
    <w:p w14:paraId="41A8EEB3">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（1）奖（助）学金、特困生补助等；</w:t>
      </w:r>
    </w:p>
    <w:p w14:paraId="60AEECA9">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（2）教学设备、科研设施、图书资料及建筑物等；</w:t>
      </w:r>
    </w:p>
    <w:p w14:paraId="31997515">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（3）创新创业、学术竞赛等活动；</w:t>
      </w:r>
    </w:p>
    <w:p w14:paraId="47A77464">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（4）校庆、校友联谊或其他重大活动；</w:t>
      </w:r>
    </w:p>
    <w:p w14:paraId="6BBAE48D">
      <w:pPr>
        <w:keepNext w:val="0"/>
        <w:keepLines w:val="0"/>
        <w:pageBreakBefore w:val="0"/>
        <w:widowControl w:val="0"/>
        <w:kinsoku/>
        <w:wordWrap/>
        <w:overflowPunct/>
        <w:topLinePunct w:val="0"/>
        <w:autoSpaceDE/>
        <w:autoSpaceDN/>
        <w:bidi w:val="0"/>
        <w:adjustRightInd/>
        <w:snapToGrid/>
        <w:spacing w:line="500" w:lineRule="exact"/>
        <w:ind w:left="0" w:leftChars="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（5）学校发展的其他项目。</w:t>
      </w:r>
    </w:p>
    <w:p w14:paraId="17E8F0D4">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第九条  </w:t>
      </w:r>
      <w:r>
        <w:rPr>
          <w:rFonts w:hint="eastAsia" w:ascii="仿宋_GB2312" w:hAnsi="仿宋_GB2312" w:eastAsia="仿宋_GB2312" w:cs="仿宋_GB2312"/>
          <w:color w:val="auto"/>
          <w:sz w:val="28"/>
          <w:szCs w:val="28"/>
        </w:rPr>
        <w:t>资金主要来源为国内外企事业单位、社会团体和个人的合法捐助。</w:t>
      </w:r>
    </w:p>
    <w:p w14:paraId="01AA400F">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第十条  </w:t>
      </w:r>
      <w:r>
        <w:rPr>
          <w:rFonts w:hint="eastAsia" w:ascii="仿宋_GB2312" w:hAnsi="仿宋_GB2312" w:eastAsia="仿宋_GB2312" w:cs="仿宋_GB2312"/>
          <w:color w:val="auto"/>
          <w:sz w:val="28"/>
          <w:szCs w:val="28"/>
        </w:rPr>
        <w:t>捐赠可采用现金、债券、股票、期权、实物等形式，金额及方式不限。</w:t>
      </w:r>
    </w:p>
    <w:p w14:paraId="26BDE991">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第四章  鼓励捐赠的措施</w:t>
      </w:r>
    </w:p>
    <w:p w14:paraId="365C7A1D">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第十一条 </w:t>
      </w:r>
      <w:r>
        <w:rPr>
          <w:rFonts w:hint="eastAsia" w:ascii="仿宋_GB2312" w:hAnsi="仿宋_GB2312" w:eastAsia="仿宋_GB2312" w:cs="仿宋_GB2312"/>
          <w:color w:val="auto"/>
          <w:sz w:val="28"/>
          <w:szCs w:val="28"/>
        </w:rPr>
        <w:t xml:space="preserve"> 学校接受捐赠开具合法捐赠发票或收据，签订捐赠协议书，并承诺尊重捐赠者的意愿，合理规范地使用捐赠资金</w:t>
      </w:r>
    </w:p>
    <w:p w14:paraId="3134065B">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第十二条  </w:t>
      </w:r>
      <w:r>
        <w:rPr>
          <w:rFonts w:hint="eastAsia" w:ascii="仿宋_GB2312" w:hAnsi="仿宋_GB2312" w:eastAsia="仿宋_GB2312" w:cs="仿宋_GB2312"/>
          <w:color w:val="auto"/>
          <w:sz w:val="28"/>
          <w:szCs w:val="28"/>
        </w:rPr>
        <w:t>学校对热心捐赠的各界人士和单位进行表彰和奖励。根据捐赠者意愿，在学校出版物上发布捐赠人相关资料及捐赠事宜；对做出特殊贡献的捐赠者，授予荣誉证书，档案馆登记造册，载入校史。</w:t>
      </w:r>
    </w:p>
    <w:p w14:paraId="4754E1E6">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第十三条 </w:t>
      </w:r>
      <w:r>
        <w:rPr>
          <w:rFonts w:hint="eastAsia" w:ascii="仿宋_GB2312" w:hAnsi="仿宋_GB2312" w:eastAsia="仿宋_GB2312" w:cs="仿宋_GB2312"/>
          <w:color w:val="auto"/>
          <w:sz w:val="28"/>
          <w:szCs w:val="28"/>
        </w:rPr>
        <w:t xml:space="preserve"> 根据捐赠者意愿，学校可酌情将有关道路、景观、建筑等以捐建人姓名命名。</w:t>
      </w:r>
    </w:p>
    <w:p w14:paraId="37174EF3">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第十四条 </w:t>
      </w:r>
      <w:r>
        <w:rPr>
          <w:rFonts w:hint="eastAsia" w:ascii="仿宋_GB2312" w:hAnsi="仿宋_GB2312" w:eastAsia="仿宋_GB2312" w:cs="仿宋_GB2312"/>
          <w:color w:val="auto"/>
          <w:sz w:val="28"/>
          <w:szCs w:val="28"/>
        </w:rPr>
        <w:t xml:space="preserve"> 若捐赠者有其他意愿的，由捐赠者与校友会协商确定。</w:t>
      </w:r>
    </w:p>
    <w:p w14:paraId="4B392288">
      <w:pPr>
        <w:keepNext w:val="0"/>
        <w:keepLines w:val="0"/>
        <w:pageBreakBefore w:val="0"/>
        <w:widowControl w:val="0"/>
        <w:kinsoku/>
        <w:wordWrap/>
        <w:overflowPunct/>
        <w:topLinePunct w:val="0"/>
        <w:autoSpaceDE/>
        <w:autoSpaceDN/>
        <w:bidi w:val="0"/>
        <w:adjustRightInd/>
        <w:snapToGrid/>
        <w:spacing w:line="500" w:lineRule="exact"/>
        <w:ind w:left="0" w:leftChars="0" w:right="0"/>
        <w:jc w:val="center"/>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第五章  附则</w:t>
      </w:r>
    </w:p>
    <w:p w14:paraId="201E7374">
      <w:pPr>
        <w:keepNext w:val="0"/>
        <w:keepLines w:val="0"/>
        <w:pageBreakBefore w:val="0"/>
        <w:widowControl w:val="0"/>
        <w:kinsoku/>
        <w:wordWrap/>
        <w:overflowPunct/>
        <w:topLinePunct w:val="0"/>
        <w:autoSpaceDE/>
        <w:autoSpaceDN/>
        <w:bidi w:val="0"/>
        <w:adjustRightInd/>
        <w:snapToGrid/>
        <w:spacing w:line="500" w:lineRule="exact"/>
        <w:ind w:left="0" w:leftChars="0" w:right="0" w:firstLine="562"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第十五条  </w:t>
      </w: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办法</w:t>
      </w:r>
      <w:r>
        <w:rPr>
          <w:rFonts w:hint="eastAsia" w:ascii="仿宋_GB2312" w:hAnsi="仿宋_GB2312" w:eastAsia="仿宋_GB2312" w:cs="仿宋_GB2312"/>
          <w:color w:val="auto"/>
          <w:sz w:val="28"/>
          <w:szCs w:val="28"/>
        </w:rPr>
        <w:t>自发布之日起施行。</w:t>
      </w:r>
    </w:p>
    <w:p w14:paraId="3873A7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color w:val="auto"/>
          <w:sz w:val="28"/>
          <w:szCs w:val="28"/>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154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6F22D">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76F22D">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NGE3MzI5MDZiZDFmOTc0NmMxZjU0YjIxODRiNGUifQ=="/>
  </w:docVars>
  <w:rsids>
    <w:rsidRoot w:val="00000000"/>
    <w:rsid w:val="01832831"/>
    <w:rsid w:val="05D215EF"/>
    <w:rsid w:val="09A51BF9"/>
    <w:rsid w:val="0AD807FB"/>
    <w:rsid w:val="0E055078"/>
    <w:rsid w:val="0F9E4654"/>
    <w:rsid w:val="12520BFC"/>
    <w:rsid w:val="13D60162"/>
    <w:rsid w:val="159B4DB8"/>
    <w:rsid w:val="15A46C4C"/>
    <w:rsid w:val="16A2092D"/>
    <w:rsid w:val="1B0909BA"/>
    <w:rsid w:val="1B2D7187"/>
    <w:rsid w:val="1B3E5883"/>
    <w:rsid w:val="25053949"/>
    <w:rsid w:val="25FD5745"/>
    <w:rsid w:val="28961505"/>
    <w:rsid w:val="2B5A0F7A"/>
    <w:rsid w:val="2BF31029"/>
    <w:rsid w:val="31AA2E09"/>
    <w:rsid w:val="31BC5A96"/>
    <w:rsid w:val="323A6CE3"/>
    <w:rsid w:val="328834F0"/>
    <w:rsid w:val="356428B5"/>
    <w:rsid w:val="3C143D68"/>
    <w:rsid w:val="3D897AA4"/>
    <w:rsid w:val="40EE20E8"/>
    <w:rsid w:val="419B050B"/>
    <w:rsid w:val="420867DE"/>
    <w:rsid w:val="428E1FFF"/>
    <w:rsid w:val="42BF2D0D"/>
    <w:rsid w:val="43352C12"/>
    <w:rsid w:val="43A91AF7"/>
    <w:rsid w:val="43DD1151"/>
    <w:rsid w:val="46EB645B"/>
    <w:rsid w:val="4B201463"/>
    <w:rsid w:val="4D7C4395"/>
    <w:rsid w:val="4E5142BC"/>
    <w:rsid w:val="51473D4E"/>
    <w:rsid w:val="520F4FF8"/>
    <w:rsid w:val="5286782C"/>
    <w:rsid w:val="529C53A7"/>
    <w:rsid w:val="536E5FAE"/>
    <w:rsid w:val="566D218B"/>
    <w:rsid w:val="566D4FD5"/>
    <w:rsid w:val="56FA61EE"/>
    <w:rsid w:val="5BCA2D52"/>
    <w:rsid w:val="5CA65E34"/>
    <w:rsid w:val="5D4C14E2"/>
    <w:rsid w:val="5D715D68"/>
    <w:rsid w:val="5F9D7A74"/>
    <w:rsid w:val="5FFE2B26"/>
    <w:rsid w:val="60010C00"/>
    <w:rsid w:val="623605F1"/>
    <w:rsid w:val="638922B0"/>
    <w:rsid w:val="68BF7C43"/>
    <w:rsid w:val="6B07778A"/>
    <w:rsid w:val="6DE13D84"/>
    <w:rsid w:val="72C5775B"/>
    <w:rsid w:val="75A30EB4"/>
    <w:rsid w:val="768F7D3B"/>
    <w:rsid w:val="796A5046"/>
    <w:rsid w:val="7B743797"/>
    <w:rsid w:val="7D0179F0"/>
    <w:rsid w:val="7EF60E5A"/>
    <w:rsid w:val="7F51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autoRedefine/>
    <w:qFormat/>
    <w:uiPriority w:val="0"/>
    <w:pPr>
      <w:ind w:left="840" w:leftChars="4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autoRedefine/>
    <w:qFormat/>
    <w:uiPriority w:val="0"/>
    <w:pPr>
      <w:ind w:left="420" w:left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autoRedefine/>
    <w:qFormat/>
    <w:uiPriority w:val="0"/>
    <w:rPr>
      <w:rFonts w:hint="eastAsia" w:ascii="仿宋" w:hAnsi="仿宋" w:eastAsia="仿宋" w:cs="仿宋"/>
      <w:b/>
      <w:bCs/>
      <w:color w:val="000000"/>
      <w:sz w:val="30"/>
      <w:szCs w:val="30"/>
      <w:u w:val="none"/>
    </w:rPr>
  </w:style>
  <w:style w:type="character" w:customStyle="1" w:styleId="11">
    <w:name w:val="font51"/>
    <w:basedOn w:val="9"/>
    <w:qFormat/>
    <w:uiPriority w:val="0"/>
    <w:rPr>
      <w:rFonts w:hint="eastAsia" w:ascii="仿宋" w:hAnsi="仿宋" w:eastAsia="仿宋" w:cs="仿宋"/>
      <w:color w:val="000000"/>
      <w:sz w:val="30"/>
      <w:szCs w:val="30"/>
      <w:u w:val="none"/>
    </w:rPr>
  </w:style>
  <w:style w:type="character" w:customStyle="1" w:styleId="12">
    <w:name w:val="font61"/>
    <w:basedOn w:val="9"/>
    <w:qFormat/>
    <w:uiPriority w:val="0"/>
    <w:rPr>
      <w:rFonts w:hint="eastAsia" w:ascii="仿宋" w:hAnsi="仿宋" w:eastAsia="仿宋" w:cs="仿宋"/>
      <w:b/>
      <w:bCs/>
      <w:color w:val="000000"/>
      <w:sz w:val="20"/>
      <w:szCs w:val="20"/>
      <w:u w:val="none"/>
    </w:rPr>
  </w:style>
  <w:style w:type="character" w:customStyle="1" w:styleId="13">
    <w:name w:val="font71"/>
    <w:basedOn w:val="9"/>
    <w:autoRedefine/>
    <w:qFormat/>
    <w:uiPriority w:val="0"/>
    <w:rPr>
      <w:rFonts w:hint="eastAsia" w:ascii="仿宋" w:hAnsi="仿宋" w:eastAsia="仿宋" w:cs="仿宋"/>
      <w:color w:val="000000"/>
      <w:sz w:val="20"/>
      <w:szCs w:val="20"/>
      <w:u w:val="none"/>
    </w:rPr>
  </w:style>
  <w:style w:type="character" w:customStyle="1" w:styleId="14">
    <w:name w:val="font101"/>
    <w:basedOn w:val="9"/>
    <w:qFormat/>
    <w:uiPriority w:val="0"/>
    <w:rPr>
      <w:rFonts w:ascii="宋体" w:hAnsi="宋体" w:eastAsia="宋体" w:cs="宋体"/>
      <w:color w:val="000000"/>
      <w:sz w:val="20"/>
      <w:szCs w:val="20"/>
      <w:u w:val="none"/>
    </w:rPr>
  </w:style>
  <w:style w:type="character" w:customStyle="1" w:styleId="15">
    <w:name w:val="font81"/>
    <w:basedOn w:val="9"/>
    <w:autoRedefine/>
    <w:qFormat/>
    <w:uiPriority w:val="0"/>
    <w:rPr>
      <w:rFonts w:hint="eastAsia" w:ascii="宋体" w:hAnsi="宋体" w:eastAsia="宋体" w:cs="宋体"/>
      <w:color w:val="FF0000"/>
      <w:sz w:val="22"/>
      <w:szCs w:val="22"/>
      <w:u w:val="none"/>
    </w:rPr>
  </w:style>
  <w:style w:type="character" w:customStyle="1" w:styleId="16">
    <w:name w:val="font91"/>
    <w:basedOn w:val="9"/>
    <w:qFormat/>
    <w:uiPriority w:val="0"/>
    <w:rPr>
      <w:rFonts w:hint="default" w:ascii="Arial" w:hAnsi="Arial" w:cs="Arial"/>
      <w:color w:val="FF0000"/>
      <w:sz w:val="22"/>
      <w:szCs w:val="22"/>
      <w:u w:val="none"/>
    </w:rPr>
  </w:style>
  <w:style w:type="character" w:customStyle="1" w:styleId="17">
    <w:name w:val="font31"/>
    <w:basedOn w:val="9"/>
    <w:qFormat/>
    <w:uiPriority w:val="0"/>
    <w:rPr>
      <w:rFonts w:ascii="宋体" w:hAnsi="宋体" w:eastAsia="宋体" w:cs="宋体"/>
      <w:b/>
      <w:bCs/>
      <w:color w:val="000000"/>
      <w:sz w:val="24"/>
      <w:szCs w:val="24"/>
      <w:u w:val="none"/>
    </w:rPr>
  </w:style>
  <w:style w:type="character" w:customStyle="1" w:styleId="18">
    <w:name w:val="font112"/>
    <w:basedOn w:val="9"/>
    <w:autoRedefine/>
    <w:qFormat/>
    <w:uiPriority w:val="0"/>
    <w:rPr>
      <w:rFonts w:ascii="宋体" w:hAnsi="宋体" w:eastAsia="宋体" w:cs="宋体"/>
      <w:color w:val="000000"/>
      <w:sz w:val="18"/>
      <w:szCs w:val="18"/>
      <w:u w:val="none"/>
    </w:rPr>
  </w:style>
  <w:style w:type="character" w:customStyle="1" w:styleId="19">
    <w:name w:val="font21"/>
    <w:basedOn w:val="9"/>
    <w:autoRedefine/>
    <w:qFormat/>
    <w:uiPriority w:val="0"/>
    <w:rPr>
      <w:rFonts w:ascii="宋体" w:hAnsi="宋体" w:eastAsia="宋体" w:cs="宋体"/>
      <w:b/>
      <w:bCs/>
      <w:color w:val="000000"/>
      <w:sz w:val="18"/>
      <w:szCs w:val="18"/>
      <w:u w:val="none"/>
    </w:rPr>
  </w:style>
  <w:style w:type="character" w:customStyle="1" w:styleId="20">
    <w:name w:val="font121"/>
    <w:basedOn w:val="9"/>
    <w:autoRedefine/>
    <w:qFormat/>
    <w:uiPriority w:val="0"/>
    <w:rPr>
      <w:rFonts w:hint="default" w:ascii="Arial" w:hAnsi="Arial" w:cs="Arial"/>
      <w:color w:val="000000"/>
      <w:sz w:val="22"/>
      <w:szCs w:val="22"/>
      <w:u w:val="none"/>
    </w:rPr>
  </w:style>
  <w:style w:type="character" w:customStyle="1" w:styleId="21">
    <w:name w:val="font11"/>
    <w:basedOn w:val="9"/>
    <w:qFormat/>
    <w:uiPriority w:val="0"/>
    <w:rPr>
      <w:rFonts w:hint="eastAsia" w:ascii="宋体" w:hAnsi="宋体" w:eastAsia="宋体" w:cs="宋体"/>
      <w:b/>
      <w:bCs/>
      <w:color w:val="000000"/>
      <w:sz w:val="20"/>
      <w:szCs w:val="20"/>
      <w:u w:val="none"/>
    </w:rPr>
  </w:style>
  <w:style w:type="paragraph" w:customStyle="1" w:styleId="22">
    <w:name w:val="WPSOffice手动目录 1"/>
    <w:autoRedefine/>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autoRedefine/>
    <w:qFormat/>
    <w:uiPriority w:val="0"/>
    <w:pPr>
      <w:ind w:leftChars="400"/>
    </w:pPr>
    <w:rPr>
      <w:rFonts w:ascii="Times New Roman" w:hAnsi="Times New Roman" w:eastAsia="宋体" w:cs="Times New Roman"/>
      <w:sz w:val="20"/>
      <w:szCs w:val="20"/>
    </w:rPr>
  </w:style>
  <w:style w:type="paragraph" w:customStyle="1" w:styleId="25">
    <w:name w:val="样式1"/>
    <w:basedOn w:val="1"/>
    <w:next w:val="1"/>
    <w:autoRedefine/>
    <w:qFormat/>
    <w:uiPriority w:val="0"/>
    <w:pPr>
      <w:keepNext/>
      <w:keepLines/>
      <w:spacing w:line="480" w:lineRule="auto"/>
      <w:jc w:val="center"/>
      <w:outlineLvl w:val="0"/>
    </w:pPr>
    <w:rPr>
      <w:rFonts w:hint="eastAsia"/>
      <w:b/>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8330</Words>
  <Characters>8350</Characters>
  <Lines>0</Lines>
  <Paragraphs>0</Paragraphs>
  <TotalTime>1</TotalTime>
  <ScaleCrop>false</ScaleCrop>
  <LinksUpToDate>false</LinksUpToDate>
  <CharactersWithSpaces>8525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2024-07-06T11:24:00Z</dcterms:created>
  <dc:creator>81514</dc:creator>
  <cp:lastModifiedBy>阿林</cp:lastModifiedBy>
  <cp:lastPrinted>2024-08-07T06:50:00Z</cp:lastPrinted>
  <dcterms:modified xsi:type="dcterms:W3CDTF">2025-10-30T09:28:59Z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EF20E1930B644D7CAE5C390B1EB7CD75_13</vt:lpwstr>
  </property>
  <property fmtid="{D5CDD505-2E9C-101B-9397-08002B2CF9AE}" pid="4" name="KSOTemplateDocerSaveRecord">
    <vt:lpwstr>eyJoZGlkIjoiNDVlNGE3MzI5MDZiZDFmOTc0NmMxZjU0YjIxODRiNGUiLCJ1c2VySWQiOiI4MTY4MDA2MzkifQ==</vt:lpwstr>
  </property>
</Properties>
</file>