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ascii="黑体" w:hAnsi="黑体" w:eastAsia="黑体" w:cs="宋体"/>
          <w:b/>
          <w:bCs/>
          <w:color w:val="000000" w:themeColor="text1"/>
          <w:kern w:val="0"/>
          <w:sz w:val="44"/>
          <w:szCs w:val="44"/>
          <w14:textFill>
            <w14:solidFill>
              <w14:schemeClr w14:val="tx1"/>
            </w14:solidFill>
          </w14:textFill>
        </w:rPr>
      </w:pPr>
      <w:r>
        <w:rPr>
          <w:rFonts w:hint="eastAsia"/>
          <w:color w:val="000000" w:themeColor="text1"/>
          <w:sz w:val="20"/>
          <w:szCs w:val="20"/>
          <w14:textFill>
            <w14:solidFill>
              <w14:schemeClr w14:val="tx1"/>
            </w14:solidFill>
          </w14:textFill>
        </w:rPr>
        <w:drawing>
          <wp:inline distT="0" distB="0" distL="114300" distR="114300">
            <wp:extent cx="3178810" cy="481965"/>
            <wp:effectExtent l="0" t="0" r="2540" b="13335"/>
            <wp:docPr id="1" name="图片 1" descr="微信图片_2021071510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715100811"/>
                    <pic:cNvPicPr>
                      <a:picLocks noChangeAspect="1"/>
                    </pic:cNvPicPr>
                  </pic:nvPicPr>
                  <pic:blipFill>
                    <a:blip r:embed="rId13"/>
                    <a:stretch>
                      <a:fillRect/>
                    </a:stretch>
                  </pic:blipFill>
                  <pic:spPr>
                    <a:xfrm>
                      <a:off x="0" y="0"/>
                      <a:ext cx="3178810" cy="481965"/>
                    </a:xfrm>
                    <a:prstGeom prst="rect">
                      <a:avLst/>
                    </a:prstGeom>
                  </pic:spPr>
                </pic:pic>
              </a:graphicData>
            </a:graphic>
          </wp:inline>
        </w:drawing>
      </w:r>
    </w:p>
    <w:p>
      <w:pPr>
        <w:widowControl/>
        <w:ind w:firstLine="883"/>
        <w:jc w:val="left"/>
        <w:rPr>
          <w:rFonts w:ascii="黑体" w:hAnsi="黑体" w:eastAsia="黑体" w:cs="宋体"/>
          <w:b/>
          <w:bCs/>
          <w:color w:val="000000" w:themeColor="text1"/>
          <w:kern w:val="0"/>
          <w:sz w:val="44"/>
          <w:szCs w:val="44"/>
          <w14:textFill>
            <w14:solidFill>
              <w14:schemeClr w14:val="tx1"/>
            </w14:solidFill>
          </w14:textFill>
        </w:rPr>
      </w:pPr>
    </w:p>
    <w:p>
      <w:pPr>
        <w:widowControl/>
        <w:ind w:firstLine="883"/>
        <w:jc w:val="left"/>
        <w:rPr>
          <w:rFonts w:ascii="黑体" w:hAnsi="黑体" w:eastAsia="黑体" w:cs="宋体"/>
          <w:b/>
          <w:bCs/>
          <w:color w:val="000000" w:themeColor="text1"/>
          <w:kern w:val="0"/>
          <w:sz w:val="44"/>
          <w:szCs w:val="44"/>
          <w14:textFill>
            <w14:solidFill>
              <w14:schemeClr w14:val="tx1"/>
            </w14:solidFill>
          </w14:textFill>
        </w:rPr>
      </w:pPr>
    </w:p>
    <w:p>
      <w:pPr>
        <w:widowControl/>
        <w:ind w:firstLine="0" w:firstLineChars="0"/>
        <w:jc w:val="center"/>
        <w:rPr>
          <w:rFonts w:hint="eastAsia" w:ascii="黑体" w:eastAsia="黑体"/>
          <w:b/>
          <w:sz w:val="52"/>
          <w:szCs w:val="52"/>
        </w:rPr>
      </w:pPr>
      <w:r>
        <w:rPr>
          <w:rFonts w:hint="eastAsia" w:ascii="黑体" w:eastAsia="黑体"/>
          <w:b/>
          <w:sz w:val="52"/>
          <w:szCs w:val="52"/>
          <w:lang w:eastAsia="zh-CN"/>
        </w:rPr>
        <w:t>共青科技职业</w:t>
      </w:r>
      <w:r>
        <w:rPr>
          <w:rFonts w:hint="eastAsia" w:ascii="黑体" w:eastAsia="黑体"/>
          <w:b/>
          <w:sz w:val="52"/>
          <w:szCs w:val="52"/>
        </w:rPr>
        <w:t>学院</w:t>
      </w:r>
    </w:p>
    <w:p>
      <w:pPr>
        <w:widowControl/>
        <w:ind w:firstLine="0" w:firstLineChars="0"/>
        <w:jc w:val="center"/>
        <w:rPr>
          <w:rFonts w:hint="eastAsia" w:ascii="黑体" w:eastAsia="黑体"/>
          <w:b/>
          <w:sz w:val="52"/>
          <w:szCs w:val="52"/>
        </w:rPr>
      </w:pPr>
    </w:p>
    <w:p>
      <w:pPr>
        <w:widowControl/>
        <w:ind w:firstLine="0" w:firstLineChars="0"/>
        <w:jc w:val="center"/>
        <w:rPr>
          <w:rFonts w:ascii="黑体" w:hAnsi="黑体" w:eastAsia="黑体" w:cs="宋体"/>
          <w:b/>
          <w:bCs/>
          <w:color w:val="000000" w:themeColor="text1"/>
          <w:kern w:val="0"/>
          <w:sz w:val="44"/>
          <w:szCs w:val="44"/>
          <w14:textFill>
            <w14:solidFill>
              <w14:schemeClr w14:val="tx1"/>
            </w14:solidFill>
          </w14:textFill>
        </w:rPr>
      </w:pPr>
      <w:r>
        <w:rPr>
          <w:rFonts w:hint="eastAsia" w:ascii="黑体" w:hAnsi="宋体" w:eastAsia="黑体" w:cs="宋体"/>
          <w:b/>
          <w:w w:val="95"/>
          <w:kern w:val="0"/>
          <w:sz w:val="44"/>
          <w:szCs w:val="44"/>
          <w:lang w:val="zh-CN" w:eastAsia="zh-CN" w:bidi="zh-CN"/>
        </w:rPr>
        <w:t>电子信息工程技术专业</w:t>
      </w:r>
    </w:p>
    <w:p>
      <w:pPr>
        <w:widowControl/>
        <w:ind w:firstLine="0" w:firstLineChars="0"/>
        <w:jc w:val="center"/>
        <w:rPr>
          <w:rFonts w:ascii="宋体" w:hAnsi="宋体" w:cs="宋体"/>
          <w:color w:val="000000" w:themeColor="text1"/>
          <w:kern w:val="0"/>
          <w:szCs w:val="24"/>
          <w14:textFill>
            <w14:solidFill>
              <w14:schemeClr w14:val="tx1"/>
            </w14:solidFill>
          </w14:textFill>
        </w:rPr>
      </w:pPr>
    </w:p>
    <w:p>
      <w:pPr>
        <w:widowControl/>
        <w:ind w:firstLine="0" w:firstLineChars="0"/>
        <w:jc w:val="center"/>
        <w:rPr>
          <w:rFonts w:hint="eastAsia" w:ascii="黑体" w:eastAsia="黑体"/>
          <w:b/>
          <w:sz w:val="52"/>
          <w:szCs w:val="52"/>
          <w:lang w:eastAsia="zh-CN"/>
        </w:rPr>
      </w:pPr>
      <w:r>
        <w:rPr>
          <w:rFonts w:hint="eastAsia" w:ascii="黑体" w:hAnsi="宋体" w:eastAsia="黑体" w:cs="宋体"/>
          <w:b/>
          <w:kern w:val="0"/>
          <w:sz w:val="52"/>
          <w:szCs w:val="52"/>
          <w:lang w:val="zh-CN" w:eastAsia="zh-CN" w:bidi="zh-CN"/>
        </w:rPr>
        <w:t>建设方案</w:t>
      </w:r>
    </w:p>
    <w:p>
      <w:pPr>
        <w:ind w:firstLine="0" w:firstLineChars="0"/>
        <w:jc w:val="center"/>
        <w:rPr>
          <w:rFonts w:ascii="黑体" w:hAnsi="黑体" w:eastAsia="黑体" w:cs="宋体"/>
          <w:b/>
          <w:bCs/>
          <w:color w:val="000000" w:themeColor="text1"/>
          <w:kern w:val="0"/>
          <w:sz w:val="44"/>
          <w:szCs w:val="44"/>
          <w14:textFill>
            <w14:solidFill>
              <w14:schemeClr w14:val="tx1"/>
            </w14:solidFill>
          </w14:textFill>
        </w:rPr>
      </w:pPr>
      <w:r>
        <w:rPr>
          <w:rFonts w:hint="eastAsia" w:ascii="黑体" w:hAnsi="黑体" w:eastAsia="黑体" w:cs="宋体"/>
          <w:b/>
          <w:bCs/>
          <w:color w:val="000000" w:themeColor="text1"/>
          <w:kern w:val="0"/>
          <w:sz w:val="44"/>
          <w:szCs w:val="44"/>
          <w14:textFill>
            <w14:solidFill>
              <w14:schemeClr w14:val="tx1"/>
            </w14:solidFill>
          </w14:textFill>
        </w:rPr>
        <w:t>（20</w:t>
      </w:r>
      <w:r>
        <w:rPr>
          <w:rFonts w:ascii="黑体" w:hAnsi="黑体" w:eastAsia="黑体" w:cs="宋体"/>
          <w:b/>
          <w:bCs/>
          <w:color w:val="000000" w:themeColor="text1"/>
          <w:kern w:val="0"/>
          <w:sz w:val="44"/>
          <w:szCs w:val="44"/>
          <w14:textFill>
            <w14:solidFill>
              <w14:schemeClr w14:val="tx1"/>
            </w14:solidFill>
          </w14:textFill>
        </w:rPr>
        <w:t>2</w:t>
      </w:r>
      <w:r>
        <w:rPr>
          <w:rFonts w:hint="eastAsia" w:ascii="黑体" w:hAnsi="黑体" w:eastAsia="黑体" w:cs="宋体"/>
          <w:b/>
          <w:bCs/>
          <w:color w:val="000000" w:themeColor="text1"/>
          <w:kern w:val="0"/>
          <w:sz w:val="44"/>
          <w:szCs w:val="44"/>
          <w14:textFill>
            <w14:solidFill>
              <w14:schemeClr w14:val="tx1"/>
            </w14:solidFill>
          </w14:textFill>
        </w:rPr>
        <w:t>1-202</w:t>
      </w:r>
      <w:r>
        <w:rPr>
          <w:rFonts w:ascii="黑体" w:hAnsi="黑体" w:eastAsia="黑体" w:cs="宋体"/>
          <w:b/>
          <w:bCs/>
          <w:color w:val="000000" w:themeColor="text1"/>
          <w:kern w:val="0"/>
          <w:sz w:val="44"/>
          <w:szCs w:val="44"/>
          <w14:textFill>
            <w14:solidFill>
              <w14:schemeClr w14:val="tx1"/>
            </w14:solidFill>
          </w14:textFill>
        </w:rPr>
        <w:t>5</w:t>
      </w:r>
      <w:r>
        <w:rPr>
          <w:rFonts w:hint="eastAsia" w:ascii="黑体" w:hAnsi="黑体" w:eastAsia="黑体" w:cs="宋体"/>
          <w:b/>
          <w:bCs/>
          <w:color w:val="000000" w:themeColor="text1"/>
          <w:kern w:val="0"/>
          <w:sz w:val="44"/>
          <w:szCs w:val="44"/>
          <w14:textFill>
            <w14:solidFill>
              <w14:schemeClr w14:val="tx1"/>
            </w14:solidFill>
          </w14:textFill>
        </w:rPr>
        <w:t>年）</w:t>
      </w:r>
    </w:p>
    <w:p>
      <w:pPr>
        <w:ind w:firstLine="735" w:firstLineChars="0"/>
        <w:jc w:val="center"/>
        <w:rPr>
          <w:rFonts w:ascii="黑体" w:hAnsi="黑体" w:eastAsia="黑体" w:cs="宋体"/>
          <w:b/>
          <w:bCs/>
          <w:color w:val="000000" w:themeColor="text1"/>
          <w:kern w:val="0"/>
          <w:sz w:val="36"/>
          <w:szCs w:val="36"/>
          <w14:textFill>
            <w14:solidFill>
              <w14:schemeClr w14:val="tx1"/>
            </w14:solidFill>
          </w14:textFill>
        </w:rPr>
      </w:pPr>
    </w:p>
    <w:p>
      <w:pPr>
        <w:ind w:firstLine="735" w:firstLineChars="0"/>
        <w:jc w:val="center"/>
        <w:rPr>
          <w:rFonts w:ascii="黑体" w:hAnsi="黑体" w:eastAsia="黑体" w:cs="宋体"/>
          <w:b/>
          <w:bCs/>
          <w:color w:val="000000" w:themeColor="text1"/>
          <w:kern w:val="0"/>
          <w:sz w:val="36"/>
          <w:szCs w:val="36"/>
          <w14:textFill>
            <w14:solidFill>
              <w14:schemeClr w14:val="tx1"/>
            </w14:solidFill>
          </w14:textFill>
        </w:rPr>
      </w:pPr>
    </w:p>
    <w:p>
      <w:pPr>
        <w:ind w:firstLine="0" w:firstLineChars="0"/>
        <w:jc w:val="center"/>
        <w:rPr>
          <w:rFonts w:ascii="黑体" w:hAnsi="黑体" w:eastAsia="黑体" w:cs="宋体"/>
          <w:b/>
          <w:bCs/>
          <w:color w:val="000000" w:themeColor="text1"/>
          <w:kern w:val="0"/>
          <w:sz w:val="32"/>
          <w:szCs w:val="32"/>
          <w:u w:val="single"/>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 xml:space="preserve">部 </w:t>
      </w:r>
      <w:r>
        <w:rPr>
          <w:rFonts w:ascii="黑体" w:hAnsi="黑体" w:eastAsia="黑体" w:cs="宋体"/>
          <w:b/>
          <w:bCs/>
          <w:color w:val="000000" w:themeColor="text1"/>
          <w:kern w:val="0"/>
          <w:sz w:val="32"/>
          <w:szCs w:val="32"/>
          <w14:textFill>
            <w14:solidFill>
              <w14:schemeClr w14:val="tx1"/>
            </w14:solidFill>
          </w14:textFill>
        </w:rPr>
        <w:t xml:space="preserve">     </w:t>
      </w:r>
      <w:r>
        <w:rPr>
          <w:rFonts w:hint="eastAsia" w:ascii="黑体" w:hAnsi="黑体" w:eastAsia="黑体" w:cs="宋体"/>
          <w:b/>
          <w:bCs/>
          <w:color w:val="000000" w:themeColor="text1"/>
          <w:kern w:val="0"/>
          <w:sz w:val="32"/>
          <w:szCs w:val="32"/>
          <w14:textFill>
            <w14:solidFill>
              <w14:schemeClr w14:val="tx1"/>
            </w14:solidFill>
          </w14:textFill>
        </w:rPr>
        <w:t>门：</w:t>
      </w:r>
      <w:r>
        <w:rPr>
          <w:rFonts w:hint="eastAsia" w:ascii="黑体" w:hAnsi="黑体" w:eastAsia="黑体" w:cs="宋体"/>
          <w:b/>
          <w:bCs/>
          <w:color w:val="000000" w:themeColor="text1"/>
          <w:kern w:val="0"/>
          <w:sz w:val="32"/>
          <w:szCs w:val="32"/>
          <w:u w:val="single"/>
          <w14:textFill>
            <w14:solidFill>
              <w14:schemeClr w14:val="tx1"/>
            </w14:solidFill>
          </w14:textFill>
        </w:rPr>
        <w:t xml:space="preserve"> </w:t>
      </w:r>
      <w:r>
        <w:rPr>
          <w:rFonts w:ascii="黑体" w:hAnsi="黑体" w:eastAsia="黑体" w:cs="宋体"/>
          <w:b/>
          <w:bCs/>
          <w:color w:val="000000" w:themeColor="text1"/>
          <w:kern w:val="0"/>
          <w:sz w:val="32"/>
          <w:szCs w:val="32"/>
          <w:u w:val="single"/>
          <w14:textFill>
            <w14:solidFill>
              <w14:schemeClr w14:val="tx1"/>
            </w14:solidFill>
          </w14:textFill>
        </w:rPr>
        <w:t xml:space="preserve">  </w:t>
      </w:r>
      <w:r>
        <w:rPr>
          <w:rFonts w:hint="eastAsia" w:ascii="黑体" w:hAnsi="黑体" w:eastAsia="黑体" w:cs="宋体"/>
          <w:b/>
          <w:bCs/>
          <w:color w:val="000000" w:themeColor="text1"/>
          <w:kern w:val="0"/>
          <w:sz w:val="32"/>
          <w:szCs w:val="32"/>
          <w:u w:val="single"/>
          <w14:textFill>
            <w14:solidFill>
              <w14:schemeClr w14:val="tx1"/>
            </w14:solidFill>
          </w14:textFill>
        </w:rPr>
        <w:t xml:space="preserve">信息工程学院 </w:t>
      </w:r>
      <w:r>
        <w:rPr>
          <w:rFonts w:ascii="黑体" w:hAnsi="黑体" w:eastAsia="黑体" w:cs="宋体"/>
          <w:b/>
          <w:bCs/>
          <w:color w:val="000000" w:themeColor="text1"/>
          <w:kern w:val="0"/>
          <w:sz w:val="32"/>
          <w:szCs w:val="32"/>
          <w:u w:val="single"/>
          <w14:textFill>
            <w14:solidFill>
              <w14:schemeClr w14:val="tx1"/>
            </w14:solidFill>
          </w14:textFill>
        </w:rPr>
        <w:t xml:space="preserve">  </w:t>
      </w:r>
    </w:p>
    <w:p>
      <w:pPr>
        <w:ind w:firstLine="0" w:firstLineChars="0"/>
        <w:jc w:val="center"/>
        <w:rPr>
          <w:rFonts w:ascii="黑体" w:hAnsi="黑体" w:eastAsia="黑体" w:cs="宋体"/>
          <w:b/>
          <w:bCs/>
          <w:color w:val="000000" w:themeColor="text1"/>
          <w:kern w:val="0"/>
          <w:sz w:val="32"/>
          <w:szCs w:val="32"/>
          <w:u w:val="single"/>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 xml:space="preserve"> </w:t>
      </w:r>
      <w:r>
        <w:rPr>
          <w:rFonts w:ascii="黑体" w:hAnsi="黑体" w:eastAsia="黑体" w:cs="宋体"/>
          <w:b/>
          <w:bCs/>
          <w:color w:val="000000" w:themeColor="text1"/>
          <w:kern w:val="0"/>
          <w:sz w:val="32"/>
          <w:szCs w:val="32"/>
          <w14:textFill>
            <w14:solidFill>
              <w14:schemeClr w14:val="tx1"/>
            </w14:solidFill>
          </w14:textFill>
        </w:rPr>
        <w:t xml:space="preserve"> </w:t>
      </w:r>
      <w:r>
        <w:rPr>
          <w:rFonts w:hint="eastAsia" w:ascii="黑体" w:hAnsi="黑体" w:eastAsia="黑体" w:cs="宋体"/>
          <w:b/>
          <w:bCs/>
          <w:color w:val="000000" w:themeColor="text1"/>
          <w:kern w:val="0"/>
          <w:sz w:val="32"/>
          <w:szCs w:val="32"/>
          <w14:textFill>
            <w14:solidFill>
              <w14:schemeClr w14:val="tx1"/>
            </w14:solidFill>
          </w14:textFill>
        </w:rPr>
        <w:t xml:space="preserve">专 </w:t>
      </w:r>
      <w:r>
        <w:rPr>
          <w:rFonts w:ascii="黑体" w:hAnsi="黑体" w:eastAsia="黑体" w:cs="宋体"/>
          <w:b/>
          <w:bCs/>
          <w:color w:val="000000" w:themeColor="text1"/>
          <w:kern w:val="0"/>
          <w:sz w:val="32"/>
          <w:szCs w:val="32"/>
          <w14:textFill>
            <w14:solidFill>
              <w14:schemeClr w14:val="tx1"/>
            </w14:solidFill>
          </w14:textFill>
        </w:rPr>
        <w:t xml:space="preserve">     </w:t>
      </w:r>
      <w:r>
        <w:rPr>
          <w:rFonts w:hint="eastAsia" w:ascii="黑体" w:hAnsi="黑体" w:eastAsia="黑体" w:cs="宋体"/>
          <w:b/>
          <w:bCs/>
          <w:color w:val="000000" w:themeColor="text1"/>
          <w:kern w:val="0"/>
          <w:sz w:val="32"/>
          <w:szCs w:val="32"/>
          <w14:textFill>
            <w14:solidFill>
              <w14:schemeClr w14:val="tx1"/>
            </w14:solidFill>
          </w14:textFill>
        </w:rPr>
        <w:t>业：</w:t>
      </w:r>
      <w:r>
        <w:rPr>
          <w:rFonts w:hint="eastAsia" w:ascii="黑体" w:hAnsi="黑体" w:eastAsia="黑体" w:cs="宋体"/>
          <w:b/>
          <w:bCs/>
          <w:color w:val="000000" w:themeColor="text1"/>
          <w:kern w:val="0"/>
          <w:sz w:val="32"/>
          <w:szCs w:val="32"/>
          <w:u w:val="single"/>
          <w14:textFill>
            <w14:solidFill>
              <w14:schemeClr w14:val="tx1"/>
            </w14:solidFill>
          </w14:textFill>
        </w:rPr>
        <w:t xml:space="preserve"> 电子信息工程技术 </w:t>
      </w:r>
    </w:p>
    <w:p>
      <w:pPr>
        <w:ind w:firstLine="2249" w:firstLineChars="700"/>
        <w:jc w:val="left"/>
        <w:rPr>
          <w:rFonts w:ascii="黑体" w:hAnsi="黑体" w:eastAsia="黑体" w:cs="宋体"/>
          <w:b/>
          <w:bCs/>
          <w:color w:val="000000" w:themeColor="text1"/>
          <w:kern w:val="0"/>
          <w:sz w:val="32"/>
          <w:szCs w:val="32"/>
          <w:u w:val="single"/>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专业带头人：</w:t>
      </w:r>
      <w:r>
        <w:rPr>
          <w:rFonts w:hint="eastAsia" w:ascii="黑体" w:hAnsi="黑体" w:eastAsia="黑体" w:cs="宋体"/>
          <w:b/>
          <w:bCs/>
          <w:color w:val="000000" w:themeColor="text1"/>
          <w:kern w:val="0"/>
          <w:sz w:val="32"/>
          <w:szCs w:val="32"/>
          <w:u w:val="single"/>
          <w14:textFill>
            <w14:solidFill>
              <w14:schemeClr w14:val="tx1"/>
            </w14:solidFill>
          </w14:textFill>
        </w:rPr>
        <w:t xml:space="preserve"> </w:t>
      </w:r>
      <w:r>
        <w:rPr>
          <w:rFonts w:ascii="黑体" w:hAnsi="黑体" w:eastAsia="黑体" w:cs="宋体"/>
          <w:b/>
          <w:bCs/>
          <w:color w:val="000000" w:themeColor="text1"/>
          <w:kern w:val="0"/>
          <w:sz w:val="32"/>
          <w:szCs w:val="32"/>
          <w:u w:val="single"/>
          <w14:textFill>
            <w14:solidFill>
              <w14:schemeClr w14:val="tx1"/>
            </w14:solidFill>
          </w14:textFill>
        </w:rPr>
        <w:t xml:space="preserve">   </w:t>
      </w:r>
      <w:r>
        <w:rPr>
          <w:rFonts w:hint="eastAsia" w:ascii="黑体" w:hAnsi="黑体" w:eastAsia="黑体" w:cs="宋体"/>
          <w:b/>
          <w:bCs/>
          <w:color w:val="000000" w:themeColor="text1"/>
          <w:kern w:val="0"/>
          <w:sz w:val="32"/>
          <w:szCs w:val="32"/>
          <w:u w:val="single"/>
          <w14:textFill>
            <w14:solidFill>
              <w14:schemeClr w14:val="tx1"/>
            </w14:solidFill>
          </w14:textFill>
        </w:rPr>
        <w:t xml:space="preserve">卢国庆 </w:t>
      </w:r>
      <w:r>
        <w:rPr>
          <w:rFonts w:ascii="黑体" w:hAnsi="黑体" w:eastAsia="黑体" w:cs="宋体"/>
          <w:b/>
          <w:bCs/>
          <w:color w:val="000000" w:themeColor="text1"/>
          <w:kern w:val="0"/>
          <w:sz w:val="32"/>
          <w:szCs w:val="32"/>
          <w:u w:val="single"/>
          <w14:textFill>
            <w14:solidFill>
              <w14:schemeClr w14:val="tx1"/>
            </w14:solidFill>
          </w14:textFill>
        </w:rPr>
        <w:t xml:space="preserve">       </w:t>
      </w:r>
    </w:p>
    <w:p>
      <w:pPr>
        <w:ind w:firstLine="2287" w:firstLineChars="712"/>
        <w:rPr>
          <w:color w:val="000000" w:themeColor="text1"/>
          <w:sz w:val="32"/>
          <w:szCs w:val="32"/>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 xml:space="preserve">审  核 </w:t>
      </w:r>
      <w:r>
        <w:rPr>
          <w:rFonts w:ascii="黑体" w:hAnsi="黑体" w:eastAsia="黑体" w:cs="宋体"/>
          <w:b/>
          <w:bCs/>
          <w:color w:val="000000" w:themeColor="text1"/>
          <w:kern w:val="0"/>
          <w:sz w:val="32"/>
          <w:szCs w:val="32"/>
          <w14:textFill>
            <w14:solidFill>
              <w14:schemeClr w14:val="tx1"/>
            </w14:solidFill>
          </w14:textFill>
        </w:rPr>
        <w:t xml:space="preserve"> </w:t>
      </w:r>
      <w:r>
        <w:rPr>
          <w:rFonts w:hint="eastAsia" w:ascii="黑体" w:hAnsi="黑体" w:eastAsia="黑体" w:cs="宋体"/>
          <w:b/>
          <w:bCs/>
          <w:color w:val="000000" w:themeColor="text1"/>
          <w:kern w:val="0"/>
          <w:sz w:val="32"/>
          <w:szCs w:val="32"/>
          <w14:textFill>
            <w14:solidFill>
              <w14:schemeClr w14:val="tx1"/>
            </w14:solidFill>
          </w14:textFill>
        </w:rPr>
        <w:t>人：</w:t>
      </w:r>
      <w:r>
        <w:rPr>
          <w:rFonts w:hint="eastAsia" w:ascii="黑体" w:hAnsi="黑体" w:eastAsia="黑体" w:cs="宋体"/>
          <w:b/>
          <w:bCs/>
          <w:color w:val="000000" w:themeColor="text1"/>
          <w:kern w:val="0"/>
          <w:sz w:val="32"/>
          <w:szCs w:val="32"/>
          <w:u w:val="single"/>
          <w14:textFill>
            <w14:solidFill>
              <w14:schemeClr w14:val="tx1"/>
            </w14:solidFill>
          </w14:textFill>
        </w:rPr>
        <w:t xml:space="preserve"> </w:t>
      </w:r>
      <w:r>
        <w:rPr>
          <w:rFonts w:ascii="黑体" w:hAnsi="黑体" w:eastAsia="黑体" w:cs="宋体"/>
          <w:b/>
          <w:bCs/>
          <w:color w:val="000000" w:themeColor="text1"/>
          <w:kern w:val="0"/>
          <w:sz w:val="32"/>
          <w:szCs w:val="32"/>
          <w:u w:val="single"/>
          <w14:textFill>
            <w14:solidFill>
              <w14:schemeClr w14:val="tx1"/>
            </w14:solidFill>
          </w14:textFill>
        </w:rPr>
        <w:t xml:space="preserve">   </w:t>
      </w:r>
      <w:r>
        <w:rPr>
          <w:rFonts w:hint="eastAsia" w:ascii="黑体" w:hAnsi="黑体" w:eastAsia="黑体" w:cs="宋体"/>
          <w:b/>
          <w:bCs/>
          <w:color w:val="000000" w:themeColor="text1"/>
          <w:kern w:val="0"/>
          <w:sz w:val="32"/>
          <w:szCs w:val="32"/>
          <w:u w:val="single"/>
          <w14:textFill>
            <w14:solidFill>
              <w14:schemeClr w14:val="tx1"/>
            </w14:solidFill>
          </w14:textFill>
        </w:rPr>
        <w:t xml:space="preserve">石永革 </w:t>
      </w:r>
      <w:r>
        <w:rPr>
          <w:rFonts w:ascii="黑体" w:hAnsi="黑体" w:eastAsia="黑体" w:cs="宋体"/>
          <w:b/>
          <w:bCs/>
          <w:color w:val="000000" w:themeColor="text1"/>
          <w:kern w:val="0"/>
          <w:sz w:val="32"/>
          <w:szCs w:val="32"/>
          <w:u w:val="single"/>
          <w14:textFill>
            <w14:solidFill>
              <w14:schemeClr w14:val="tx1"/>
            </w14:solidFill>
          </w14:textFill>
        </w:rPr>
        <w:t xml:space="preserve">       </w:t>
      </w:r>
    </w:p>
    <w:p>
      <w:pPr>
        <w:ind w:firstLine="48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b/>
          <w:bCs/>
          <w:color w:val="000000" w:themeColor="text1"/>
          <w:sz w:val="28"/>
          <w:szCs w:val="28"/>
          <w14:textFill>
            <w14:solidFill>
              <w14:schemeClr w14:val="tx1"/>
            </w14:solidFill>
          </w14:textFill>
        </w:rPr>
      </w:pPr>
    </w:p>
    <w:p>
      <w:pPr>
        <w:ind w:firstLine="562"/>
        <w:jc w:val="center"/>
        <w:rPr>
          <w:rFonts w:ascii="黑体" w:hAnsi="黑体" w:eastAsia="黑体"/>
          <w:b/>
          <w:bCs/>
          <w:color w:val="000000" w:themeColor="text1"/>
          <w:sz w:val="28"/>
          <w:szCs w:val="28"/>
          <w14:textFill>
            <w14:solidFill>
              <w14:schemeClr w14:val="tx1"/>
            </w14:solidFill>
          </w14:textFill>
        </w:rPr>
      </w:pPr>
    </w:p>
    <w:p>
      <w:pPr>
        <w:ind w:firstLine="562"/>
        <w:jc w:val="center"/>
        <w:rPr>
          <w:rFonts w:ascii="黑体" w:hAnsi="黑体" w:eastAsia="黑体"/>
          <w:b/>
          <w:bCs/>
          <w:color w:val="000000" w:themeColor="text1"/>
          <w:sz w:val="28"/>
          <w:szCs w:val="28"/>
          <w14:textFill>
            <w14:solidFill>
              <w14:schemeClr w14:val="tx1"/>
            </w14:solidFill>
          </w14:textFill>
        </w:rPr>
      </w:pPr>
    </w:p>
    <w:p>
      <w:pPr>
        <w:autoSpaceDE w:val="0"/>
        <w:autoSpaceDN w:val="0"/>
        <w:spacing w:before="50" w:line="240" w:lineRule="auto"/>
        <w:ind w:right="1197" w:firstLine="0" w:firstLineChars="0"/>
        <w:jc w:val="center"/>
        <w:rPr>
          <w:rFonts w:ascii="黑体" w:hAnsi="黑体" w:eastAsia="黑体"/>
          <w:b/>
          <w:bCs/>
          <w:color w:val="000000" w:themeColor="text1"/>
          <w:sz w:val="28"/>
          <w:szCs w:val="28"/>
          <w14:textFill>
            <w14:solidFill>
              <w14:schemeClr w14:val="tx1"/>
            </w14:solidFill>
          </w14:textFill>
        </w:rPr>
      </w:pPr>
    </w:p>
    <w:p>
      <w:pPr>
        <w:ind w:firstLine="199" w:firstLineChars="83"/>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582" w:right="1400" w:bottom="278" w:left="1678" w:header="851" w:footer="992" w:gutter="0"/>
          <w:cols w:space="425" w:num="1"/>
          <w:docGrid w:type="lines" w:linePitch="312" w:charSpace="0"/>
        </w:sectPr>
      </w:pPr>
    </w:p>
    <w:p>
      <w:pPr>
        <w:pStyle w:val="9"/>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目录</w:t>
      </w:r>
    </w:p>
    <w:p>
      <w:pPr>
        <w:pStyle w:val="9"/>
        <w:rPr>
          <w:rFonts w:asciiTheme="minorHAnsi" w:hAnsiTheme="minorHAnsi" w:eastAsiaTheme="minorEastAsia"/>
          <w:sz w:val="21"/>
        </w:rPr>
      </w:pPr>
      <w:r>
        <w:rPr>
          <w:rFonts w:ascii="黑体" w:eastAsia="黑体"/>
          <w:b/>
          <w:color w:val="000000" w:themeColor="text1"/>
          <w:sz w:val="44"/>
          <w14:textFill>
            <w14:solidFill>
              <w14:schemeClr w14:val="tx1"/>
            </w14:solidFill>
          </w14:textFill>
        </w:rPr>
        <w:fldChar w:fldCharType="begin"/>
      </w:r>
      <w:r>
        <w:rPr>
          <w:rFonts w:ascii="黑体" w:eastAsia="黑体"/>
          <w:b/>
          <w:color w:val="000000" w:themeColor="text1"/>
          <w:sz w:val="44"/>
          <w14:textFill>
            <w14:solidFill>
              <w14:schemeClr w14:val="tx1"/>
            </w14:solidFill>
          </w14:textFill>
        </w:rPr>
        <w:instrText xml:space="preserve"> TOC \o "1-2" \u </w:instrText>
      </w:r>
      <w:r>
        <w:rPr>
          <w:rFonts w:ascii="黑体" w:eastAsia="黑体"/>
          <w:b/>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t>一、专业基本情况</w:t>
      </w:r>
      <w:r>
        <w:tab/>
      </w:r>
      <w:r>
        <w:fldChar w:fldCharType="begin"/>
      </w:r>
      <w:r>
        <w:instrText xml:space="preserve"> PAGEREF _Toc95516164 \h </w:instrText>
      </w:r>
      <w:r>
        <w:fldChar w:fldCharType="separate"/>
      </w:r>
      <w:r>
        <w:t>1</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（一）专业建设现状</w:t>
      </w:r>
      <w:r>
        <w:tab/>
      </w:r>
      <w:r>
        <w:fldChar w:fldCharType="begin"/>
      </w:r>
      <w:r>
        <w:instrText xml:space="preserve"> PAGEREF _Toc95516165 \h </w:instrText>
      </w:r>
      <w:r>
        <w:fldChar w:fldCharType="separate"/>
      </w:r>
      <w:r>
        <w:t>1</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（二）存在问题</w:t>
      </w:r>
      <w:r>
        <w:tab/>
      </w:r>
      <w:r>
        <w:fldChar w:fldCharType="begin"/>
      </w:r>
      <w:r>
        <w:instrText xml:space="preserve"> PAGEREF _Toc95516166 \h </w:instrText>
      </w:r>
      <w:r>
        <w:fldChar w:fldCharType="separate"/>
      </w:r>
      <w:r>
        <w:t>1</w:t>
      </w:r>
      <w:r>
        <w:fldChar w:fldCharType="end"/>
      </w:r>
    </w:p>
    <w:p>
      <w:pPr>
        <w:pStyle w:val="9"/>
        <w:rPr>
          <w:rFonts w:asciiTheme="minorHAnsi" w:hAnsiTheme="minorHAnsi" w:eastAsiaTheme="minorEastAsia"/>
          <w:sz w:val="21"/>
        </w:rPr>
      </w:pPr>
      <w:r>
        <w:rPr>
          <w:color w:val="000000" w:themeColor="text1"/>
          <w14:textFill>
            <w14:solidFill>
              <w14:schemeClr w14:val="tx1"/>
            </w14:solidFill>
          </w14:textFill>
        </w:rPr>
        <w:t>二、社会需求分析</w:t>
      </w:r>
      <w:r>
        <w:tab/>
      </w:r>
      <w:r>
        <w:fldChar w:fldCharType="begin"/>
      </w:r>
      <w:r>
        <w:instrText xml:space="preserve"> PAGEREF _Toc95516167 \h </w:instrText>
      </w:r>
      <w:r>
        <w:fldChar w:fldCharType="separate"/>
      </w:r>
      <w:r>
        <w:t>2</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（一）人才需求分析</w:t>
      </w:r>
      <w:r>
        <w:tab/>
      </w:r>
      <w:r>
        <w:fldChar w:fldCharType="begin"/>
      </w:r>
      <w:r>
        <w:instrText xml:space="preserve"> PAGEREF _Toc95516168 \h </w:instrText>
      </w:r>
      <w:r>
        <w:fldChar w:fldCharType="separate"/>
      </w:r>
      <w:r>
        <w:t>2</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（二）开设情况分析</w:t>
      </w:r>
      <w:r>
        <w:tab/>
      </w:r>
      <w:r>
        <w:fldChar w:fldCharType="begin"/>
      </w:r>
      <w:r>
        <w:instrText xml:space="preserve"> PAGEREF _Toc95516169 \h </w:instrText>
      </w:r>
      <w:r>
        <w:fldChar w:fldCharType="separate"/>
      </w:r>
      <w:r>
        <w:t>3</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（三）社会认可度分析</w:t>
      </w:r>
      <w:r>
        <w:tab/>
      </w:r>
      <w:r>
        <w:fldChar w:fldCharType="begin"/>
      </w:r>
      <w:r>
        <w:instrText xml:space="preserve"> PAGEREF _Toc95516170 \h </w:instrText>
      </w:r>
      <w:r>
        <w:fldChar w:fldCharType="separate"/>
      </w:r>
      <w:r>
        <w:t>3</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（四） SWOT分析</w:t>
      </w:r>
      <w:r>
        <w:tab/>
      </w:r>
      <w:r>
        <w:fldChar w:fldCharType="begin"/>
      </w:r>
      <w:r>
        <w:instrText xml:space="preserve"> PAGEREF _Toc95516171 \h </w:instrText>
      </w:r>
      <w:r>
        <w:fldChar w:fldCharType="separate"/>
      </w:r>
      <w:r>
        <w:t>3</w:t>
      </w:r>
      <w:r>
        <w:fldChar w:fldCharType="end"/>
      </w:r>
    </w:p>
    <w:p>
      <w:pPr>
        <w:pStyle w:val="9"/>
        <w:rPr>
          <w:rFonts w:asciiTheme="minorHAnsi" w:hAnsiTheme="minorHAnsi" w:eastAsiaTheme="minorEastAsia"/>
          <w:sz w:val="21"/>
        </w:rPr>
      </w:pPr>
      <w:r>
        <w:rPr>
          <w:color w:val="000000" w:themeColor="text1"/>
          <w14:textFill>
            <w14:solidFill>
              <w14:schemeClr w14:val="tx1"/>
            </w14:solidFill>
          </w14:textFill>
        </w:rPr>
        <w:t>三、指导思想、建设目标与思路</w:t>
      </w:r>
      <w:r>
        <w:tab/>
      </w:r>
      <w:r>
        <w:fldChar w:fldCharType="begin"/>
      </w:r>
      <w:r>
        <w:instrText xml:space="preserve"> PAGEREF _Toc95516172 \h </w:instrText>
      </w:r>
      <w:r>
        <w:fldChar w:fldCharType="separate"/>
      </w:r>
      <w:r>
        <w:t>4</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（一）指导思想</w:t>
      </w:r>
      <w:r>
        <w:tab/>
      </w:r>
      <w:r>
        <w:fldChar w:fldCharType="begin"/>
      </w:r>
      <w:r>
        <w:instrText xml:space="preserve"> PAGEREF _Toc95516173 \h </w:instrText>
      </w:r>
      <w:r>
        <w:fldChar w:fldCharType="separate"/>
      </w:r>
      <w:r>
        <w:t>4</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（二） 建设目标</w:t>
      </w:r>
      <w:bookmarkStart w:id="34" w:name="_GoBack"/>
      <w:bookmarkEnd w:id="34"/>
      <w:r>
        <w:tab/>
      </w:r>
      <w:r>
        <w:fldChar w:fldCharType="begin"/>
      </w:r>
      <w:r>
        <w:instrText xml:space="preserve"> PAGEREF _Toc95516174 \h </w:instrText>
      </w:r>
      <w:r>
        <w:fldChar w:fldCharType="separate"/>
      </w:r>
      <w:r>
        <w:t>4</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（三） 建设思路</w:t>
      </w:r>
      <w:r>
        <w:tab/>
      </w:r>
      <w:r>
        <w:fldChar w:fldCharType="begin"/>
      </w:r>
      <w:r>
        <w:instrText xml:space="preserve"> PAGEREF _Toc95516175 \h </w:instrText>
      </w:r>
      <w:r>
        <w:fldChar w:fldCharType="separate"/>
      </w:r>
      <w:r>
        <w:t>5</w:t>
      </w:r>
      <w:r>
        <w:fldChar w:fldCharType="end"/>
      </w:r>
    </w:p>
    <w:p>
      <w:pPr>
        <w:pStyle w:val="9"/>
        <w:rPr>
          <w:rFonts w:asciiTheme="minorHAnsi" w:hAnsiTheme="minorHAnsi" w:eastAsiaTheme="minorEastAsia"/>
          <w:sz w:val="21"/>
        </w:rPr>
      </w:pPr>
      <w:r>
        <w:rPr>
          <w:color w:val="000000" w:themeColor="text1"/>
          <w14:textFill>
            <w14:solidFill>
              <w14:schemeClr w14:val="tx1"/>
            </w14:solidFill>
          </w14:textFill>
        </w:rPr>
        <w:t>四、主要建设任务与举措</w:t>
      </w:r>
      <w:r>
        <w:tab/>
      </w:r>
      <w:r>
        <w:fldChar w:fldCharType="begin"/>
      </w:r>
      <w:r>
        <w:instrText xml:space="preserve"> PAGEREF _Toc95516176 \h </w:instrText>
      </w:r>
      <w:r>
        <w:fldChar w:fldCharType="separate"/>
      </w:r>
      <w:r>
        <w:t>5</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（一）人才培养模式改革</w:t>
      </w:r>
      <w:r>
        <w:tab/>
      </w:r>
      <w:r>
        <w:fldChar w:fldCharType="begin"/>
      </w:r>
      <w:r>
        <w:instrText xml:space="preserve"> PAGEREF _Toc95516177 \h </w:instrText>
      </w:r>
      <w:r>
        <w:fldChar w:fldCharType="separate"/>
      </w:r>
      <w:r>
        <w:t>6</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（二）教学改革与资源建设</w:t>
      </w:r>
      <w:r>
        <w:tab/>
      </w:r>
      <w:r>
        <w:fldChar w:fldCharType="begin"/>
      </w:r>
      <w:r>
        <w:instrText xml:space="preserve"> PAGEREF _Toc95516178 \h </w:instrText>
      </w:r>
      <w:r>
        <w:fldChar w:fldCharType="separate"/>
      </w:r>
      <w:r>
        <w:t>7</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（三）师资队伍建设</w:t>
      </w:r>
      <w:r>
        <w:tab/>
      </w:r>
      <w:r>
        <w:fldChar w:fldCharType="begin"/>
      </w:r>
      <w:r>
        <w:instrText xml:space="preserve"> PAGEREF _Toc95516179 \h </w:instrText>
      </w:r>
      <w:r>
        <w:fldChar w:fldCharType="separate"/>
      </w:r>
      <w:r>
        <w:t>7</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（四）实训条件建设</w:t>
      </w:r>
      <w:r>
        <w:tab/>
      </w:r>
      <w:r>
        <w:fldChar w:fldCharType="begin"/>
      </w:r>
      <w:r>
        <w:instrText xml:space="preserve"> PAGEREF _Toc95516180 \h </w:instrText>
      </w:r>
      <w:r>
        <w:fldChar w:fldCharType="separate"/>
      </w:r>
      <w:r>
        <w:t>8</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（五）社会服务能力建设</w:t>
      </w:r>
      <w:r>
        <w:tab/>
      </w:r>
      <w:r>
        <w:fldChar w:fldCharType="begin"/>
      </w:r>
      <w:r>
        <w:instrText xml:space="preserve"> PAGEREF _Toc95516181 \h </w:instrText>
      </w:r>
      <w:r>
        <w:fldChar w:fldCharType="separate"/>
      </w:r>
      <w:r>
        <w:t>9</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（六）建设成效</w:t>
      </w:r>
      <w:r>
        <w:tab/>
      </w:r>
      <w:r>
        <w:fldChar w:fldCharType="begin"/>
      </w:r>
      <w:r>
        <w:instrText xml:space="preserve"> PAGEREF _Toc95516182 \h </w:instrText>
      </w:r>
      <w:r>
        <w:fldChar w:fldCharType="separate"/>
      </w:r>
      <w:r>
        <w:t>10</w:t>
      </w:r>
      <w:r>
        <w:fldChar w:fldCharType="end"/>
      </w:r>
    </w:p>
    <w:p>
      <w:pPr>
        <w:pStyle w:val="9"/>
        <w:rPr>
          <w:rFonts w:asciiTheme="minorHAnsi" w:hAnsiTheme="minorHAnsi" w:eastAsiaTheme="minorEastAsia"/>
          <w:sz w:val="21"/>
        </w:rPr>
      </w:pPr>
      <w:r>
        <w:rPr>
          <w:snapToGrid w:val="0"/>
          <w:color w:val="000000" w:themeColor="text1"/>
          <w:lang w:bidi="ar"/>
          <w14:textFill>
            <w14:solidFill>
              <w14:schemeClr w14:val="tx1"/>
            </w14:solidFill>
          </w14:textFill>
        </w:rPr>
        <w:t>五、保障措施</w:t>
      </w:r>
      <w:r>
        <w:tab/>
      </w:r>
      <w:r>
        <w:fldChar w:fldCharType="begin"/>
      </w:r>
      <w:r>
        <w:instrText xml:space="preserve"> PAGEREF _Toc95516183 \h </w:instrText>
      </w:r>
      <w:r>
        <w:fldChar w:fldCharType="separate"/>
      </w:r>
      <w:r>
        <w:t>10</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（一）机制体制保障</w:t>
      </w:r>
      <w:r>
        <w:tab/>
      </w:r>
      <w:r>
        <w:fldChar w:fldCharType="begin"/>
      </w:r>
      <w:r>
        <w:instrText xml:space="preserve"> PAGEREF _Toc95516184 \h </w:instrText>
      </w:r>
      <w:r>
        <w:fldChar w:fldCharType="separate"/>
      </w:r>
      <w:r>
        <w:t>10</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（二）组织保障</w:t>
      </w:r>
      <w:r>
        <w:tab/>
      </w:r>
      <w:r>
        <w:fldChar w:fldCharType="begin"/>
      </w:r>
      <w:r>
        <w:instrText xml:space="preserve"> PAGEREF _Toc95516185 \h </w:instrText>
      </w:r>
      <w:r>
        <w:fldChar w:fldCharType="separate"/>
      </w:r>
      <w:r>
        <w:t>11</w:t>
      </w:r>
      <w:r>
        <w:fldChar w:fldCharType="end"/>
      </w:r>
    </w:p>
    <w:p>
      <w:pPr>
        <w:pStyle w:val="10"/>
        <w:rPr>
          <w:rFonts w:asciiTheme="minorHAnsi" w:hAnsiTheme="minorHAnsi" w:eastAsiaTheme="minorEastAsia"/>
          <w:sz w:val="21"/>
        </w:rPr>
      </w:pPr>
      <w:r>
        <w:rPr>
          <w:color w:val="000000" w:themeColor="text1"/>
          <w14:textFill>
            <w14:solidFill>
              <w14:schemeClr w14:val="tx1"/>
            </w14:solidFill>
          </w14:textFill>
        </w:rPr>
        <w:t>（三）经费保障</w:t>
      </w:r>
      <w:r>
        <w:tab/>
      </w:r>
      <w:r>
        <w:fldChar w:fldCharType="begin"/>
      </w:r>
      <w:r>
        <w:instrText xml:space="preserve"> PAGEREF _Toc95516186 \h </w:instrText>
      </w:r>
      <w:r>
        <w:fldChar w:fldCharType="separate"/>
      </w:r>
      <w:r>
        <w:t>11</w:t>
      </w:r>
      <w:r>
        <w:fldChar w:fldCharType="end"/>
      </w:r>
    </w:p>
    <w:p>
      <w:pPr>
        <w:pStyle w:val="9"/>
        <w:rPr>
          <w:rFonts w:asciiTheme="minorHAnsi" w:hAnsiTheme="minorHAnsi" w:eastAsiaTheme="minorEastAsia"/>
          <w:sz w:val="21"/>
        </w:rPr>
      </w:pPr>
      <w:r>
        <w:rPr>
          <w:color w:val="000000" w:themeColor="text1"/>
          <w14:textFill>
            <w14:solidFill>
              <w14:schemeClr w14:val="tx1"/>
            </w14:solidFill>
          </w14:textFill>
        </w:rPr>
        <w:t>六、分年度建设计划</w:t>
      </w:r>
      <w:r>
        <w:tab/>
      </w:r>
      <w:r>
        <w:fldChar w:fldCharType="begin"/>
      </w:r>
      <w:r>
        <w:instrText xml:space="preserve"> PAGEREF _Toc95516187 \h </w:instrText>
      </w:r>
      <w:r>
        <w:fldChar w:fldCharType="separate"/>
      </w:r>
      <w:r>
        <w:t>12</w:t>
      </w:r>
      <w:r>
        <w:fldChar w:fldCharType="end"/>
      </w:r>
    </w:p>
    <w:p>
      <w:pPr>
        <w:spacing w:before="10"/>
        <w:ind w:right="1238" w:firstLine="0" w:firstLineChars="0"/>
        <w:jc w:val="center"/>
        <w:rPr>
          <w:rFonts w:ascii="黑体" w:eastAsia="黑体"/>
          <w:b/>
          <w:color w:val="000000" w:themeColor="text1"/>
          <w:sz w:val="44"/>
          <w14:textFill>
            <w14:solidFill>
              <w14:schemeClr w14:val="tx1"/>
            </w14:solidFill>
          </w14:textFill>
        </w:rPr>
        <w:sectPr>
          <w:footerReference r:id="rId11" w:type="default"/>
          <w:pgSz w:w="11906" w:h="16838"/>
          <w:pgMar w:top="1582" w:right="1400" w:bottom="278" w:left="1678" w:header="851" w:footer="379" w:gutter="0"/>
          <w:pgNumType w:start="1"/>
          <w:cols w:space="425" w:num="1"/>
          <w:docGrid w:type="lines" w:linePitch="326" w:charSpace="0"/>
        </w:sectPr>
      </w:pPr>
      <w:r>
        <w:rPr>
          <w:rFonts w:ascii="黑体" w:eastAsia="黑体"/>
          <w:b/>
          <w:color w:val="000000" w:themeColor="text1"/>
          <w:sz w:val="44"/>
          <w14:textFill>
            <w14:solidFill>
              <w14:schemeClr w14:val="tx1"/>
            </w14:solidFill>
          </w14:textFill>
        </w:rPr>
        <w:fldChar w:fldCharType="end"/>
      </w:r>
    </w:p>
    <w:p>
      <w:pPr>
        <w:spacing w:before="10"/>
        <w:ind w:right="1238" w:firstLine="0" w:firstLineChars="0"/>
        <w:jc w:val="center"/>
        <w:rPr>
          <w:rFonts w:ascii="黑体" w:eastAsia="黑体"/>
          <w:b/>
          <w:color w:val="000000" w:themeColor="text1"/>
          <w:sz w:val="44"/>
          <w14:textFill>
            <w14:solidFill>
              <w14:schemeClr w14:val="tx1"/>
            </w14:solidFill>
          </w14:textFill>
        </w:rPr>
      </w:pPr>
      <w:r>
        <w:rPr>
          <w:rFonts w:hint="eastAsia" w:ascii="黑体" w:eastAsia="黑体"/>
          <w:b/>
          <w:color w:val="000000" w:themeColor="text1"/>
          <w:sz w:val="44"/>
          <w14:textFill>
            <w14:solidFill>
              <w14:schemeClr w14:val="tx1"/>
            </w14:solidFill>
          </w14:textFill>
        </w:rPr>
        <w:t>电子信息工程技术专业建设方案</w:t>
      </w:r>
    </w:p>
    <w:p>
      <w:pPr>
        <w:spacing w:before="51"/>
        <w:ind w:right="1238" w:firstLine="0" w:firstLineChars="0"/>
        <w:jc w:val="center"/>
        <w:rPr>
          <w:rFonts w:ascii="Microsoft JhengHei" w:eastAsiaTheme="minorEastAsia"/>
          <w:b/>
          <w:color w:val="000000" w:themeColor="text1"/>
          <w:sz w:val="30"/>
          <w14:textFill>
            <w14:solidFill>
              <w14:schemeClr w14:val="tx1"/>
            </w14:solidFill>
          </w14:textFill>
        </w:rPr>
      </w:pPr>
      <w:r>
        <w:rPr>
          <w:rFonts w:hint="eastAsia" w:ascii="Microsoft JhengHei" w:eastAsia="Microsoft JhengHei"/>
          <w:b/>
          <w:color w:val="000000" w:themeColor="text1"/>
          <w:sz w:val="30"/>
          <w14:textFill>
            <w14:solidFill>
              <w14:schemeClr w14:val="tx1"/>
            </w14:solidFill>
          </w14:textFill>
        </w:rPr>
        <w:t>（20</w:t>
      </w:r>
      <w:r>
        <w:rPr>
          <w:rFonts w:hint="eastAsia" w:ascii="Microsoft JhengHei"/>
          <w:b/>
          <w:color w:val="000000" w:themeColor="text1"/>
          <w:sz w:val="30"/>
          <w14:textFill>
            <w14:solidFill>
              <w14:schemeClr w14:val="tx1"/>
            </w14:solidFill>
          </w14:textFill>
        </w:rPr>
        <w:t>21</w:t>
      </w:r>
      <w:r>
        <w:rPr>
          <w:rFonts w:hint="eastAsia" w:ascii="Microsoft JhengHei" w:eastAsia="Microsoft JhengHei"/>
          <w:b/>
          <w:color w:val="000000" w:themeColor="text1"/>
          <w:sz w:val="30"/>
          <w14:textFill>
            <w14:solidFill>
              <w14:schemeClr w14:val="tx1"/>
            </w14:solidFill>
          </w14:textFill>
        </w:rPr>
        <w:t>-202</w:t>
      </w:r>
      <w:r>
        <w:rPr>
          <w:rFonts w:hint="eastAsia" w:ascii="Microsoft JhengHei"/>
          <w:b/>
          <w:color w:val="000000" w:themeColor="text1"/>
          <w:sz w:val="30"/>
          <w14:textFill>
            <w14:solidFill>
              <w14:schemeClr w14:val="tx1"/>
            </w14:solidFill>
          </w14:textFill>
        </w:rPr>
        <w:t>5</w:t>
      </w:r>
      <w:r>
        <w:rPr>
          <w:rFonts w:hint="eastAsia" w:ascii="Microsoft JhengHei" w:eastAsia="Microsoft JhengHei"/>
          <w:b/>
          <w:color w:val="000000" w:themeColor="text1"/>
          <w:sz w:val="30"/>
          <w14:textFill>
            <w14:solidFill>
              <w14:schemeClr w14:val="tx1"/>
            </w14:solidFill>
          </w14:textFill>
        </w:rPr>
        <w:t>）</w:t>
      </w:r>
    </w:p>
    <w:p>
      <w:pPr>
        <w:pStyle w:val="2"/>
        <w:rPr>
          <w:color w:val="000000" w:themeColor="text1"/>
          <w14:textFill>
            <w14:solidFill>
              <w14:schemeClr w14:val="tx1"/>
            </w14:solidFill>
          </w14:textFill>
        </w:rPr>
      </w:pPr>
      <w:bookmarkStart w:id="0" w:name="_Toc95516164"/>
      <w:r>
        <w:rPr>
          <w:rFonts w:hint="eastAsia"/>
          <w:color w:val="000000" w:themeColor="text1"/>
          <w14:textFill>
            <w14:solidFill>
              <w14:schemeClr w14:val="tx1"/>
            </w14:solidFill>
          </w14:textFill>
        </w:rPr>
        <w:t>一、专业基本情况</w:t>
      </w:r>
      <w:bookmarkEnd w:id="0"/>
    </w:p>
    <w:p>
      <w:pPr>
        <w:pStyle w:val="3"/>
        <w:rPr>
          <w:color w:val="000000" w:themeColor="text1"/>
          <w14:textFill>
            <w14:solidFill>
              <w14:schemeClr w14:val="tx1"/>
            </w14:solidFill>
          </w14:textFill>
        </w:rPr>
      </w:pPr>
      <w:bookmarkStart w:id="1" w:name="_Toc95516165"/>
      <w:r>
        <w:rPr>
          <w:rFonts w:hint="eastAsia"/>
          <w:color w:val="000000" w:themeColor="text1"/>
          <w14:textFill>
            <w14:solidFill>
              <w14:schemeClr w14:val="tx1"/>
            </w14:solidFill>
          </w14:textFill>
        </w:rPr>
        <w:t>（一）专业建设现状</w:t>
      </w:r>
      <w:bookmarkEnd w:id="1"/>
    </w:p>
    <w:p>
      <w:pPr>
        <w:ind w:firstLine="0" w:firstLineChars="0"/>
        <w:rPr>
          <w:color w:val="000000" w:themeColor="text1"/>
          <w14:textFill>
            <w14:solidFill>
              <w14:schemeClr w14:val="tx1"/>
            </w14:solidFill>
          </w14:textFill>
        </w:rPr>
      </w:pPr>
      <w:r>
        <w:rPr>
          <w:rFonts w:hint="eastAsia"/>
          <w:b/>
          <w:bCs/>
          <w:color w:val="000000" w:themeColor="text1"/>
          <w14:textFill>
            <w14:solidFill>
              <w14:schemeClr w14:val="tx1"/>
            </w14:solidFill>
          </w14:textFill>
        </w:rPr>
        <w:t>开设时间：</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13</w:t>
      </w:r>
      <w:r>
        <w:rPr>
          <w:rFonts w:hint="eastAsia"/>
          <w:color w:val="000000" w:themeColor="text1"/>
          <w14:textFill>
            <w14:solidFill>
              <w14:schemeClr w14:val="tx1"/>
            </w14:solidFill>
          </w14:textFill>
        </w:rPr>
        <w:t xml:space="preserve"> 年 9 月 </w:t>
      </w:r>
    </w:p>
    <w:p>
      <w:pPr>
        <w:ind w:firstLine="0" w:firstLineChars="0"/>
        <w:rPr>
          <w:color w:val="000000" w:themeColor="text1"/>
          <w14:textFill>
            <w14:solidFill>
              <w14:schemeClr w14:val="tx1"/>
            </w14:solidFill>
          </w14:textFill>
        </w:rPr>
      </w:pPr>
      <w:r>
        <w:rPr>
          <w:rFonts w:hint="eastAsia"/>
          <w:b/>
          <w:bCs/>
          <w:color w:val="000000" w:themeColor="text1"/>
          <w14:textFill>
            <w14:solidFill>
              <w14:schemeClr w14:val="tx1"/>
            </w14:solidFill>
          </w14:textFill>
        </w:rPr>
        <w:t>招生情况：</w:t>
      </w:r>
      <w:r>
        <w:rPr>
          <w:rFonts w:hint="eastAsia"/>
          <w:color w:val="000000" w:themeColor="text1"/>
          <w14:textFill>
            <w14:solidFill>
              <w14:schemeClr w14:val="tx1"/>
            </w14:solidFill>
          </w14:textFill>
        </w:rPr>
        <w:t>本专业自2</w:t>
      </w:r>
      <w:r>
        <w:rPr>
          <w:color w:val="000000" w:themeColor="text1"/>
          <w14:textFill>
            <w14:solidFill>
              <w14:schemeClr w14:val="tx1"/>
            </w14:solidFill>
          </w14:textFill>
        </w:rPr>
        <w:t>013</w:t>
      </w:r>
      <w:r>
        <w:rPr>
          <w:rFonts w:hint="eastAsia"/>
          <w:color w:val="000000" w:themeColor="text1"/>
          <w14:textFill>
            <w14:solidFill>
              <w14:schemeClr w14:val="tx1"/>
            </w14:solidFill>
          </w14:textFill>
        </w:rPr>
        <w:t>年以来每年招生一个班，现有在籍学生总人数1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余人 ，计划2</w:t>
      </w:r>
      <w:r>
        <w:rPr>
          <w:color w:val="000000" w:themeColor="text1"/>
          <w14:textFill>
            <w14:solidFill>
              <w14:schemeClr w14:val="tx1"/>
            </w14:solidFill>
          </w14:textFill>
        </w:rPr>
        <w:t>022</w:t>
      </w:r>
      <w:r>
        <w:rPr>
          <w:rFonts w:hint="eastAsia"/>
          <w:color w:val="000000" w:themeColor="text1"/>
          <w14:textFill>
            <w14:solidFill>
              <w14:schemeClr w14:val="tx1"/>
            </w14:solidFill>
          </w14:textFill>
        </w:rPr>
        <w:t>年招生两个班，计划人数9</w:t>
      </w:r>
      <w:r>
        <w:rPr>
          <w:color w:val="000000" w:themeColor="text1"/>
          <w14:textFill>
            <w14:solidFill>
              <w14:schemeClr w14:val="tx1"/>
            </w14:solidFill>
          </w14:textFill>
        </w:rPr>
        <w:t>0-100</w:t>
      </w:r>
      <w:r>
        <w:rPr>
          <w:rFonts w:hint="eastAsia"/>
          <w:color w:val="000000" w:themeColor="text1"/>
          <w14:textFill>
            <w14:solidFill>
              <w14:schemeClr w14:val="tx1"/>
            </w14:solidFill>
          </w14:textFill>
        </w:rPr>
        <w:t xml:space="preserve">余人。 </w:t>
      </w:r>
    </w:p>
    <w:p>
      <w:pPr>
        <w:ind w:firstLine="0" w:firstLineChars="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师资队伍：</w:t>
      </w:r>
      <w:r>
        <w:rPr>
          <w:rFonts w:hint="eastAsia"/>
          <w:color w:val="000000" w:themeColor="text1"/>
          <w14:textFill>
            <w14:solidFill>
              <w14:schemeClr w14:val="tx1"/>
            </w14:solidFill>
          </w14:textFill>
        </w:rPr>
        <w:t xml:space="preserve">现有专任教师 </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 xml:space="preserve"> 人，兼职教师3人，外聘专家</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名。研究生 </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人，副高以上职称 </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人。双师素质达到</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 xml:space="preserve">0%以上。 </w:t>
      </w:r>
    </w:p>
    <w:p>
      <w:pPr>
        <w:ind w:firstLine="0" w:firstLineChars="0"/>
        <w:rPr>
          <w:color w:val="000000" w:themeColor="text1"/>
          <w14:textFill>
            <w14:solidFill>
              <w14:schemeClr w14:val="tx1"/>
            </w14:solidFill>
          </w14:textFill>
        </w:rPr>
      </w:pPr>
      <w:r>
        <w:rPr>
          <w:rFonts w:hint="eastAsia"/>
          <w:b/>
          <w:bCs/>
          <w:color w:val="000000" w:themeColor="text1"/>
          <w14:textFill>
            <w14:solidFill>
              <w14:schemeClr w14:val="tx1"/>
            </w14:solidFill>
          </w14:textFill>
        </w:rPr>
        <w:t>实验实训条件：</w:t>
      </w:r>
      <w:r>
        <w:rPr>
          <w:rFonts w:hint="eastAsia"/>
          <w:color w:val="000000" w:themeColor="text1"/>
          <w14:textFill>
            <w14:solidFill>
              <w14:schemeClr w14:val="tx1"/>
            </w14:solidFill>
          </w14:textFill>
        </w:rPr>
        <w:t xml:space="preserve">现有专业实验室 3 间，实训设备 </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 xml:space="preserve">余万元。 </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专业自开办以来，已经与多家用人单位建立校企合作关系，每年输送的实习生及毕业生不少于 </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 xml:space="preserve"> 人。累计培训员工 </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 xml:space="preserve"> 人次，分别取得国赛一等奖1项、省赛一等奖1项，二等奖1项，三等奖1项，科研课题 </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项以上，发表各类期刊论文累计达3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余篇以上。</w:t>
      </w:r>
    </w:p>
    <w:p>
      <w:pPr>
        <w:pStyle w:val="3"/>
        <w:rPr>
          <w:color w:val="000000" w:themeColor="text1"/>
          <w14:textFill>
            <w14:solidFill>
              <w14:schemeClr w14:val="tx1"/>
            </w14:solidFill>
          </w14:textFill>
        </w:rPr>
      </w:pPr>
      <w:bookmarkStart w:id="2" w:name="_Toc95516166"/>
      <w:r>
        <w:rPr>
          <w:rFonts w:hint="eastAsia"/>
          <w:color w:val="000000" w:themeColor="text1"/>
          <w14:textFill>
            <w14:solidFill>
              <w14:schemeClr w14:val="tx1"/>
            </w14:solidFill>
          </w14:textFill>
        </w:rPr>
        <w:t>（二）存在问题</w:t>
      </w:r>
      <w:bookmarkEnd w:id="2"/>
    </w:p>
    <w:p>
      <w:pPr>
        <w:pStyle w:val="5"/>
        <w:ind w:firstLine="0" w:firstLineChars="0"/>
        <w:rPr>
          <w:b/>
          <w:bCs/>
          <w:color w:val="000000" w:themeColor="text1"/>
          <w:sz w:val="20"/>
          <w14:textFill>
            <w14:solidFill>
              <w14:schemeClr w14:val="tx1"/>
            </w14:solidFill>
          </w14:textFill>
        </w:rPr>
      </w:pPr>
      <w:r>
        <w:rPr>
          <w:b/>
          <w:bCs/>
          <w:color w:val="000000" w:themeColor="text1"/>
          <w14:textFill>
            <w14:solidFill>
              <w14:schemeClr w14:val="tx1"/>
            </w14:solidFill>
          </w14:textFill>
        </w:rPr>
        <w:t>1、教师信息化水平需要进一步提升</w:t>
      </w:r>
    </w:p>
    <w:p>
      <w:pPr>
        <w:pStyle w:val="5"/>
        <w:spacing w:after="0"/>
        <w:ind w:left="125" w:right="397" w:firstLine="448"/>
        <w:rPr>
          <w:color w:val="000000" w:themeColor="text1"/>
          <w14:textFill>
            <w14:solidFill>
              <w14:schemeClr w14:val="tx1"/>
            </w14:solidFill>
          </w14:textFill>
        </w:rPr>
      </w:pPr>
      <w:r>
        <w:rPr>
          <w:rFonts w:hint="eastAsia"/>
          <w:color w:val="000000" w:themeColor="text1"/>
          <w:spacing w:val="-8"/>
          <w14:textFill>
            <w14:solidFill>
              <w14:schemeClr w14:val="tx1"/>
            </w14:solidFill>
          </w14:textFill>
        </w:rPr>
        <w:t>电子信息工程技术</w:t>
      </w:r>
      <w:r>
        <w:rPr>
          <w:color w:val="000000" w:themeColor="text1"/>
          <w:spacing w:val="-8"/>
          <w14:textFill>
            <w14:solidFill>
              <w14:schemeClr w14:val="tx1"/>
            </w14:solidFill>
          </w14:textFill>
        </w:rPr>
        <w:t>教师团队教学能力和信息化水平有所提升，在各级比赛</w:t>
      </w:r>
      <w:r>
        <w:rPr>
          <w:color w:val="000000" w:themeColor="text1"/>
          <w:spacing w:val="-13"/>
          <w14:textFill>
            <w14:solidFill>
              <w14:schemeClr w14:val="tx1"/>
            </w14:solidFill>
          </w14:textFill>
        </w:rPr>
        <w:t>中也取得了一些成绩，但在信息化教学设计、信息化平台应用和信息</w:t>
      </w:r>
      <w:r>
        <w:rPr>
          <w:color w:val="000000" w:themeColor="text1"/>
          <w:spacing w:val="-3"/>
          <w14:textFill>
            <w14:solidFill>
              <w14:schemeClr w14:val="tx1"/>
            </w14:solidFill>
          </w14:textFill>
        </w:rPr>
        <w:t>化教学资源制作方面需要进一步提高。</w:t>
      </w:r>
    </w:p>
    <w:p>
      <w:pPr>
        <w:pStyle w:val="5"/>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2、科研及技术服务能力需要加强</w:t>
      </w:r>
    </w:p>
    <w:p>
      <w:pPr>
        <w:pStyle w:val="5"/>
        <w:spacing w:after="0"/>
        <w:ind w:left="125" w:right="397" w:firstLine="448"/>
        <w:rPr>
          <w:color w:val="000000" w:themeColor="text1"/>
          <w:spacing w:val="-8"/>
          <w14:textFill>
            <w14:solidFill>
              <w14:schemeClr w14:val="tx1"/>
            </w14:solidFill>
          </w14:textFill>
        </w:rPr>
      </w:pPr>
      <w:r>
        <w:rPr>
          <w:color w:val="000000" w:themeColor="text1"/>
          <w:spacing w:val="-8"/>
          <w14:textFill>
            <w14:solidFill>
              <w14:schemeClr w14:val="tx1"/>
            </w14:solidFill>
          </w14:textFill>
        </w:rPr>
        <w:t>专业教师的科研和技术服务能力仍有不足，科研转化率低。未来应多参与企业高端项目，加强科研及技术服务能力。</w:t>
      </w:r>
    </w:p>
    <w:p>
      <w:pPr>
        <w:pStyle w:val="5"/>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3、团队教师的结构有待提升</w:t>
      </w:r>
    </w:p>
    <w:p>
      <w:pPr>
        <w:pStyle w:val="5"/>
        <w:spacing w:after="0"/>
        <w:ind w:left="125"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专业教师中，中青年教师比例较低，副高以上职称教师以6</w:t>
      </w:r>
      <w:r>
        <w:rPr>
          <w:color w:val="000000" w:themeColor="text1"/>
          <w:spacing w:val="-8"/>
          <w14:textFill>
            <w14:solidFill>
              <w14:schemeClr w14:val="tx1"/>
            </w14:solidFill>
          </w14:textFill>
        </w:rPr>
        <w:t>0</w:t>
      </w:r>
      <w:r>
        <w:rPr>
          <w:rFonts w:hint="eastAsia"/>
          <w:color w:val="000000" w:themeColor="text1"/>
          <w:spacing w:val="-8"/>
          <w14:textFill>
            <w14:solidFill>
              <w14:schemeClr w14:val="tx1"/>
            </w14:solidFill>
          </w14:textFill>
        </w:rPr>
        <w:t>岁以上教师为主，未来应引进部分中青年教师充实教师团队中，以注入更多的新鲜血液。形成一支富有年轻朝气，结构合理的师资队伍。</w:t>
      </w:r>
    </w:p>
    <w:p>
      <w:pPr>
        <w:pStyle w:val="5"/>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、实验设备有待于继续完善</w:t>
      </w:r>
    </w:p>
    <w:p>
      <w:pPr>
        <w:pStyle w:val="5"/>
        <w:spacing w:after="0"/>
        <w:ind w:left="125"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电子类已有实验设备相对陈旧老化，部分设备存在灵敏度低，测量误差偏大等情况，随着课程体系的不断改革，老的实验设备已经不能满足新课程的实践教学需求，因此更新陈旧设备，建设新设备，完善实验硬件资源建设迫在眉睫。</w:t>
      </w:r>
    </w:p>
    <w:p>
      <w:pPr>
        <w:pStyle w:val="5"/>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5、专业招生人数偏低，未形成一定的规模</w:t>
      </w:r>
    </w:p>
    <w:p>
      <w:pPr>
        <w:pStyle w:val="5"/>
        <w:spacing w:after="0"/>
        <w:ind w:left="125"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自2</w:t>
      </w:r>
      <w:r>
        <w:rPr>
          <w:color w:val="000000" w:themeColor="text1"/>
          <w:spacing w:val="-8"/>
          <w14:textFill>
            <w14:solidFill>
              <w14:schemeClr w14:val="tx1"/>
            </w14:solidFill>
          </w14:textFill>
        </w:rPr>
        <w:t>013</w:t>
      </w:r>
      <w:r>
        <w:rPr>
          <w:rFonts w:hint="eastAsia"/>
          <w:color w:val="000000" w:themeColor="text1"/>
          <w:spacing w:val="-8"/>
          <w14:textFill>
            <w14:solidFill>
              <w14:schemeClr w14:val="tx1"/>
            </w14:solidFill>
          </w14:textFill>
        </w:rPr>
        <w:t>年电子信息工程技术专业招生以来，一直是每年一个班约4</w:t>
      </w:r>
      <w:r>
        <w:rPr>
          <w:color w:val="000000" w:themeColor="text1"/>
          <w:spacing w:val="-8"/>
          <w14:textFill>
            <w14:solidFill>
              <w14:schemeClr w14:val="tx1"/>
            </w14:solidFill>
          </w14:textFill>
        </w:rPr>
        <w:t>0</w:t>
      </w:r>
      <w:r>
        <w:rPr>
          <w:rFonts w:hint="eastAsia"/>
          <w:color w:val="000000" w:themeColor="text1"/>
          <w:spacing w:val="-8"/>
          <w14:textFill>
            <w14:solidFill>
              <w14:schemeClr w14:val="tx1"/>
            </w14:solidFill>
          </w14:textFill>
        </w:rPr>
        <w:t>人左右，招生人数不是很理想，为了更好的服务地方经济，解决我省对电子信息专业的人才需求规模，学院应加到宣传力度，在未来几年应争取每年招生学生人数突破9</w:t>
      </w:r>
      <w:r>
        <w:rPr>
          <w:color w:val="000000" w:themeColor="text1"/>
          <w:spacing w:val="-8"/>
          <w14:textFill>
            <w14:solidFill>
              <w14:schemeClr w14:val="tx1"/>
            </w14:solidFill>
          </w14:textFill>
        </w:rPr>
        <w:t>0</w:t>
      </w:r>
      <w:r>
        <w:rPr>
          <w:rFonts w:hint="eastAsia"/>
          <w:color w:val="000000" w:themeColor="text1"/>
          <w:spacing w:val="-8"/>
          <w14:textFill>
            <w14:solidFill>
              <w14:schemeClr w14:val="tx1"/>
            </w14:solidFill>
          </w14:textFill>
        </w:rPr>
        <w:t>人或以上规模，以保证该专业的良性发展。</w:t>
      </w:r>
    </w:p>
    <w:p>
      <w:pPr>
        <w:pStyle w:val="2"/>
        <w:rPr>
          <w:color w:val="000000" w:themeColor="text1"/>
          <w14:textFill>
            <w14:solidFill>
              <w14:schemeClr w14:val="tx1"/>
            </w14:solidFill>
          </w14:textFill>
        </w:rPr>
      </w:pPr>
      <w:bookmarkStart w:id="3" w:name="_Toc95516167"/>
      <w:r>
        <w:rPr>
          <w:color w:val="000000" w:themeColor="text1"/>
          <w14:textFill>
            <w14:solidFill>
              <w14:schemeClr w14:val="tx1"/>
            </w14:solidFill>
          </w14:textFill>
        </w:rPr>
        <w:t>二、社会需求分析</w:t>
      </w:r>
      <w:bookmarkEnd w:id="3"/>
    </w:p>
    <w:p>
      <w:pPr>
        <w:pStyle w:val="3"/>
        <w:rPr>
          <w:color w:val="000000" w:themeColor="text1"/>
          <w14:textFill>
            <w14:solidFill>
              <w14:schemeClr w14:val="tx1"/>
            </w14:solidFill>
          </w14:textFill>
        </w:rPr>
      </w:pPr>
      <w:bookmarkStart w:id="4" w:name="_Toc95516168"/>
      <w:r>
        <w:rPr>
          <w:color w:val="000000" w:themeColor="text1"/>
          <w14:textFill>
            <w14:solidFill>
              <w14:schemeClr w14:val="tx1"/>
            </w14:solidFill>
          </w14:textFill>
        </w:rPr>
        <w:t>（一）人才需求分析</w:t>
      </w:r>
      <w:bookmarkEnd w:id="4"/>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电子信息工程技术专业培养从事通信工程的施工和通信设备运行与维护、信号检测与信息处理，电子产品辅助设计和生产与工艺管理及品质控制、电子设备的安装与维护等岗位所需的高技能人才。近年来，由于电子产品生产工艺技术不断革新，先进自动化设备的逐步使用以及扁平化生产模式的普遍采用，以精益生产为突出代表的管理模式已初步形成，从而在技术和组织管理方面对技术人员提出了更高更新的要求，需要大量的高级技术应用型人才。电子信息产业的迅猛发展，为电子信息工程技术专业创造了良好的外部环境。</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为深入推进我省工业强省战略，促进创新链、产业链、人才链、政策链、资金链“五链”深度融合发展，大力实施“2+6+N”产业高质量跨越式发展行动，打造 2 个万亿级、 6 个五千亿级、N 个千亿级产业，坚决打好产业基础高级化、产业链现代化攻坚战，积极构建全国传统产业转型升级高地和新兴产业培育发展高地。，2019 年江西省委、 省政府出台了《江西省“2+6+N”产业高质量跨越式发展行动计划（2019- 2023 年左右）》。按照文件精神，2021年8月，江西省人力资源与社会保障厅发布了《江西省“2+6”重点产业急需紧缺人才目录》，本《目录》所称“2+6”重点产业是指：有色金属、电子信息2个万亿级发展目标的产业，以及装备制造、汽车、石化、建材、纺织、食品6个五千亿级发展目标的产业。目录中指出，电子信息产业专业技术人才紧缺程度为5颗星，表示严重紧缺。因此，加速培养一批重大产业人才，助力建成规模宏大的“人才赣军”，是我们高等职业学校的责任和义务。</w:t>
      </w:r>
      <w:r>
        <w:rPr>
          <w:rFonts w:hint="eastAsia"/>
          <w:color w:val="000000" w:themeColor="text1"/>
          <w14:textFill>
            <w14:solidFill>
              <w14:schemeClr w14:val="tx1"/>
            </w14:solidFill>
          </w14:textFill>
        </w:rPr>
        <w:t>也为电子信息工程专业毕业生的就业提供了更多的就业岗位，</w:t>
      </w:r>
      <w:r>
        <w:rPr>
          <w:color w:val="000000" w:themeColor="text1"/>
          <w14:textFill>
            <w14:solidFill>
              <w14:schemeClr w14:val="tx1"/>
            </w14:solidFill>
          </w14:textFill>
        </w:rPr>
        <w:t>下图为我省电子信息产业人才紧缺原因总体分析</w:t>
      </w:r>
    </w:p>
    <w:p>
      <w:pPr>
        <w:ind w:firstLine="48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398520" cy="1678940"/>
            <wp:effectExtent l="0" t="0" r="1143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398520" cy="1678940"/>
                    </a:xfrm>
                    <a:prstGeom prst="rect">
                      <a:avLst/>
                    </a:prstGeom>
                    <a:noFill/>
                    <a:ln>
                      <a:noFill/>
                    </a:ln>
                  </pic:spPr>
                </pic:pic>
              </a:graphicData>
            </a:graphic>
          </wp:inline>
        </w:drawing>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可见，电子信息产业的区域背景态势良好，就业渠道广泛。</w:t>
      </w:r>
    </w:p>
    <w:p>
      <w:pPr>
        <w:pStyle w:val="3"/>
        <w:rPr>
          <w:color w:val="000000" w:themeColor="text1"/>
          <w14:textFill>
            <w14:solidFill>
              <w14:schemeClr w14:val="tx1"/>
            </w14:solidFill>
          </w14:textFill>
        </w:rPr>
      </w:pPr>
      <w:bookmarkStart w:id="5" w:name="_Toc95516169"/>
      <w:bookmarkStart w:id="6" w:name="_Toc3683"/>
      <w:r>
        <w:rPr>
          <w:color w:val="000000" w:themeColor="text1"/>
          <w14:textFill>
            <w14:solidFill>
              <w14:schemeClr w14:val="tx1"/>
            </w14:solidFill>
          </w14:textFill>
        </w:rPr>
        <w:t>（二）开设情况分析</w:t>
      </w:r>
      <w:bookmarkEnd w:id="5"/>
      <w:bookmarkEnd w:id="6"/>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近1</w:t>
      </w:r>
      <w:r>
        <w:rPr>
          <w:color w:val="000000" w:themeColor="text1"/>
          <w:spacing w:val="-8"/>
          <w14:textFill>
            <w14:solidFill>
              <w14:schemeClr w14:val="tx1"/>
            </w14:solidFill>
          </w14:textFill>
        </w:rPr>
        <w:t>0</w:t>
      </w:r>
      <w:r>
        <w:rPr>
          <w:rFonts w:hint="eastAsia"/>
          <w:color w:val="000000" w:themeColor="text1"/>
          <w:spacing w:val="-8"/>
          <w14:textFill>
            <w14:solidFill>
              <w14:schemeClr w14:val="tx1"/>
            </w14:solidFill>
          </w14:textFill>
        </w:rPr>
        <w:t>多年来，全国开设了电子信息工程技术专业的学校较多，仅江西省就有几十所。相较于本省同类院校，我院电子信息工程技术专业在专业现状、师资、课程建设、实践教学、校企合作、技能大赛等方面优势明显， 但和全国较有影响力院校相比，我们仍需继续前行。</w:t>
      </w:r>
    </w:p>
    <w:p>
      <w:pPr>
        <w:pStyle w:val="3"/>
        <w:rPr>
          <w:color w:val="000000" w:themeColor="text1"/>
          <w14:textFill>
            <w14:solidFill>
              <w14:schemeClr w14:val="tx1"/>
            </w14:solidFill>
          </w14:textFill>
        </w:rPr>
      </w:pPr>
      <w:bookmarkStart w:id="7" w:name="_Toc95516170"/>
      <w:r>
        <w:rPr>
          <w:color w:val="000000" w:themeColor="text1"/>
          <w14:textFill>
            <w14:solidFill>
              <w14:schemeClr w14:val="tx1"/>
            </w14:solidFill>
          </w14:textFill>
        </w:rPr>
        <w:t>（三）社会认可度分析</w:t>
      </w:r>
      <w:bookmarkEnd w:id="7"/>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电子信息工程专业毕业生就业对口率较高，大部分学生均在电子类相关企事业单位从事电子技术员相关岗位工作。从对近三届毕业生的调查问卷来看，毕业生连续三年就业率9</w:t>
      </w:r>
      <w:r>
        <w:rPr>
          <w:color w:val="000000" w:themeColor="text1"/>
          <w:spacing w:val="-8"/>
          <w14:textFill>
            <w14:solidFill>
              <w14:schemeClr w14:val="tx1"/>
            </w14:solidFill>
          </w14:textFill>
        </w:rPr>
        <w:t>5</w:t>
      </w:r>
      <w:r>
        <w:rPr>
          <w:rFonts w:hint="eastAsia"/>
          <w:color w:val="000000" w:themeColor="text1"/>
          <w:spacing w:val="-8"/>
          <w14:textFill>
            <w14:solidFill>
              <w14:schemeClr w14:val="tx1"/>
            </w14:solidFill>
          </w14:textFill>
        </w:rPr>
        <w:t>%以上，用人单位对学生满意度达9</w:t>
      </w:r>
      <w:r>
        <w:rPr>
          <w:color w:val="000000" w:themeColor="text1"/>
          <w:spacing w:val="-8"/>
          <w14:textFill>
            <w14:solidFill>
              <w14:schemeClr w14:val="tx1"/>
            </w14:solidFill>
          </w14:textFill>
        </w:rPr>
        <w:t>0</w:t>
      </w:r>
      <w:r>
        <w:rPr>
          <w:rFonts w:hint="eastAsia"/>
          <w:color w:val="000000" w:themeColor="text1"/>
          <w:spacing w:val="-8"/>
          <w14:textFill>
            <w14:solidFill>
              <w14:schemeClr w14:val="tx1"/>
            </w14:solidFill>
          </w14:textFill>
        </w:rPr>
        <w:t>%以上。还有少部分学生参加专升本继续深造，提升学历。</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经用人单位反馈，本院电子信息工程技术专业毕业生岗位技能突出、工作态度积极、吃苦耐劳、工作效率高、上手快，在新员工业务比赛中屡获佳绩，部分学生在就业实习期就达到部门主管标准，获得单位表彰。</w:t>
      </w:r>
    </w:p>
    <w:p>
      <w:pPr>
        <w:pStyle w:val="3"/>
      </w:pPr>
      <w:bookmarkStart w:id="8" w:name="_Toc95516171"/>
      <w:r>
        <w:t>（</w:t>
      </w:r>
      <w:r>
        <w:rPr>
          <w:rFonts w:hint="eastAsia"/>
        </w:rPr>
        <w:t>四</w:t>
      </w:r>
      <w:r>
        <w:t xml:space="preserve">） </w:t>
      </w:r>
      <w:r>
        <w:rPr>
          <w:rFonts w:hint="eastAsia"/>
        </w:rPr>
        <w:t>S</w:t>
      </w:r>
      <w:r>
        <w:t>WOT</w:t>
      </w:r>
      <w:r>
        <w:rPr>
          <w:rFonts w:hint="eastAsia"/>
        </w:rPr>
        <w:t>分析</w:t>
      </w:r>
      <w:bookmarkEnd w:id="8"/>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结合我校的专业发展现状和区域优势，现对电子信息工程技术专业的优势、劣势、机遇与挑战进行分析如下：</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1、优势（S）</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首先，电子信息工程技术是在我校2</w:t>
      </w:r>
      <w:r>
        <w:rPr>
          <w:color w:val="000000" w:themeColor="text1"/>
          <w14:textFill>
            <w14:solidFill>
              <w14:schemeClr w14:val="tx1"/>
            </w14:solidFill>
          </w14:textFill>
        </w:rPr>
        <w:t>004</w:t>
      </w:r>
      <w:r>
        <w:rPr>
          <w:rFonts w:hint="eastAsia"/>
          <w:color w:val="000000" w:themeColor="text1"/>
          <w14:textFill>
            <w14:solidFill>
              <w14:schemeClr w14:val="tx1"/>
            </w14:solidFill>
          </w14:textFill>
        </w:rPr>
        <w:t>年南昌理工学院共青校区的背景下发展起来的，依托南昌理工学院的教学资源，已形成了具有相对完善的教学理念和办学经验；其次，依托《</w:t>
      </w:r>
      <w:r>
        <w:rPr>
          <w:color w:val="000000" w:themeColor="text1"/>
          <w14:textFill>
            <w14:solidFill>
              <w14:schemeClr w14:val="tx1"/>
            </w14:solidFill>
          </w14:textFill>
        </w:rPr>
        <w:t>江西省“2+6+N”产业高质量跨越式发展行动计划（2019- 2023 年左右）》</w:t>
      </w:r>
      <w:r>
        <w:rPr>
          <w:rFonts w:hint="eastAsia"/>
          <w:color w:val="000000" w:themeColor="text1"/>
          <w14:textFill>
            <w14:solidFill>
              <w14:schemeClr w14:val="tx1"/>
            </w14:solidFill>
          </w14:textFill>
        </w:rPr>
        <w:t>（其中“2”是指打造</w:t>
      </w:r>
      <w:r>
        <w:rPr>
          <w:color w:val="000000" w:themeColor="text1"/>
          <w14:textFill>
            <w14:solidFill>
              <w14:schemeClr w14:val="tx1"/>
            </w14:solidFill>
          </w14:textFill>
        </w:rPr>
        <w:t>有色金属、电子信息2个万亿级发展目标的产业</w:t>
      </w:r>
      <w:r>
        <w:rPr>
          <w:rFonts w:hint="eastAsia"/>
          <w:color w:val="000000" w:themeColor="text1"/>
          <w14:textFill>
            <w14:solidFill>
              <w14:schemeClr w14:val="tx1"/>
            </w14:solidFill>
          </w14:textFill>
        </w:rPr>
        <w:t>），的区位优势，大力发展和培养具有现代电子信息工程技术应用能力的技术技能型人才前景广阔。</w:t>
      </w:r>
    </w:p>
    <w:p>
      <w:pPr>
        <w:pStyle w:val="4"/>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、劣势（</w:t>
      </w:r>
      <w:r>
        <w:rPr>
          <w:color w:val="000000" w:themeColor="text1"/>
          <w14:textFill>
            <w14:solidFill>
              <w14:schemeClr w14:val="tx1"/>
            </w14:solidFill>
          </w14:textFill>
        </w:rPr>
        <w:t>W</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由于我校在电子信息工程技术专业的招生中宣传力度不够，多年来未被引起足够重视，其次，由于电子信息工程技术专业在我国职业院校内开设的时间相对那些老牌专业发展较晚，高中毕业生及家长对该专业的了解甚少，加上该专业的专业课程内容对数学要求较高，学习难度加大，加上招收对象的高中数学水平普遍不高，从而导致该专业的招生人数偏低。</w:t>
      </w:r>
    </w:p>
    <w:p>
      <w:pPr>
        <w:pStyle w:val="4"/>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、机遇（</w:t>
      </w:r>
      <w:r>
        <w:rPr>
          <w:color w:val="000000" w:themeColor="text1"/>
          <w14:textFill>
            <w14:solidFill>
              <w14:schemeClr w14:val="tx1"/>
            </w14:solidFill>
          </w14:textFill>
        </w:rPr>
        <w:t>O</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首先，2014年习近平总书记在中央网络安全和信息化领导小组第一次会议中明确指出:“没有信息化,就没有现代化"的论断,深刻揭示了信息化与现代化的紧密内在联系，明确指出了要实现现代化就必须要先加快信息化建设，而电子信息工程技术可以为信息化的发展提供强有力的技术支撑；其次，2</w:t>
      </w:r>
      <w:r>
        <w:rPr>
          <w:color w:val="000000" w:themeColor="text1"/>
          <w14:textFill>
            <w14:solidFill>
              <w14:schemeClr w14:val="tx1"/>
            </w14:solidFill>
          </w14:textFill>
        </w:rPr>
        <w:t>019</w:t>
      </w:r>
      <w:r>
        <w:rPr>
          <w:rFonts w:hint="eastAsia"/>
          <w:color w:val="000000" w:themeColor="text1"/>
          <w14:textFill>
            <w14:solidFill>
              <w14:schemeClr w14:val="tx1"/>
            </w14:solidFill>
          </w14:textFill>
        </w:rPr>
        <w:t>年国务院关于印发国家职业教育改革实施方案中明确了职业教育与普通教育的具有同等重要地位，充分说明了</w:t>
      </w:r>
      <w:r>
        <w:rPr>
          <w:color w:val="000000" w:themeColor="text1"/>
          <w14:textFill>
            <w14:solidFill>
              <w14:schemeClr w14:val="tx1"/>
            </w14:solidFill>
          </w14:textFill>
        </w:rPr>
        <w:t>党和国家高度重视职业教育，建成现代职业教育体系，</w:t>
      </w:r>
      <w:r>
        <w:rPr>
          <w:rFonts w:hint="eastAsia"/>
          <w:color w:val="000000" w:themeColor="text1"/>
          <w14:textFill>
            <w14:solidFill>
              <w14:schemeClr w14:val="tx1"/>
            </w14:solidFill>
          </w14:textFill>
        </w:rPr>
        <w:t>把职业教育摆在教育改革创新和经济社会发展中更加突出的位置。以上，为电子信息技术工程专业的发展提供了良好的发展机遇和良好氛围。</w:t>
      </w:r>
    </w:p>
    <w:p>
      <w:pPr>
        <w:pStyle w:val="4"/>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、挑战（</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我校为民办职业院校，相对公办职业院校相比，存在发展过程中经费压力过大，没有太多的国家经费支撑，导致因学费偏高而被许多学生拒绝，招生压力凸显，另外，相对省会城市的高等职业院校相比存在地理位置相对偏差。还有，我国职业教育的发展相对于国外发达国家而言，起步较晚，经验不足，电子信息工程技术专业教师人才匮乏，给专业的发展带来了极大的挑战。</w:t>
      </w:r>
    </w:p>
    <w:p>
      <w:pPr>
        <w:pStyle w:val="2"/>
        <w:rPr>
          <w:color w:val="000000" w:themeColor="text1"/>
          <w14:textFill>
            <w14:solidFill>
              <w14:schemeClr w14:val="tx1"/>
            </w14:solidFill>
          </w14:textFill>
        </w:rPr>
      </w:pPr>
      <w:bookmarkStart w:id="9" w:name="_Toc95516172"/>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指导思想、</w:t>
      </w:r>
      <w:r>
        <w:rPr>
          <w:color w:val="000000" w:themeColor="text1"/>
          <w14:textFill>
            <w14:solidFill>
              <w14:schemeClr w14:val="tx1"/>
            </w14:solidFill>
          </w14:textFill>
        </w:rPr>
        <w:t>建设目标与思路</w:t>
      </w:r>
      <w:bookmarkEnd w:id="9"/>
    </w:p>
    <w:p>
      <w:pPr>
        <w:pStyle w:val="3"/>
        <w:rPr>
          <w:color w:val="000000" w:themeColor="text1"/>
          <w14:textFill>
            <w14:solidFill>
              <w14:schemeClr w14:val="tx1"/>
            </w14:solidFill>
          </w14:textFill>
        </w:rPr>
      </w:pPr>
      <w:bookmarkStart w:id="10" w:name="_Toc95516173"/>
      <w:r>
        <w:rPr>
          <w:color w:val="000000" w:themeColor="text1"/>
          <w14:textFill>
            <w14:solidFill>
              <w14:schemeClr w14:val="tx1"/>
            </w14:solidFill>
          </w14:textFill>
        </w:rPr>
        <w:t>（一）指导思想</w:t>
      </w:r>
      <w:bookmarkEnd w:id="10"/>
    </w:p>
    <w:p>
      <w:pPr>
        <w:pStyle w:val="5"/>
        <w:spacing w:line="360" w:lineRule="auto"/>
        <w:ind w:left="119" w:right="397" w:firstLine="561"/>
        <w:jc w:val="both"/>
        <w:rPr>
          <w:rFonts w:hint="eastAsia"/>
          <w:spacing w:val="-8"/>
          <w:lang w:val="en-US"/>
        </w:rPr>
      </w:pPr>
      <w:bookmarkStart w:id="11" w:name="_Toc95516174"/>
      <w:r>
        <w:rPr>
          <w:rFonts w:hint="eastAsia"/>
          <w:spacing w:val="-8"/>
          <w:lang w:val="en-US"/>
        </w:rPr>
        <w:t>以习近平新时代中国特色社会主义思想为指导，全面贯彻落实党的教育方针，坚持社会主义办学方向，认真落实习近平总书记对职业教育工作做出的重要指示精神，依照《中华人民共和国高等教育法》和《中华人民共和国民办教育促进法》及有关法律法规办学；遵循高等职业教育办学规律，贯彻落实《中国教育现代化2035》《国家职业教育改革实施方案》《本科层次职业学校设置标准（实行）》《本科层次职业教育专业设置管理办法（试行）》《江西省人民政府关于整省推进职业教育综合改革提质创优的意见》，牢固树立新发展理念，坚持高质量办学，坚持立德树人，坚持需求导向，坚持育人根本，坚持服务社会。以提高办学水平和人才培养质量为核心，不断创新管理机制，继续探索产教融合多元办学形式，深入推进教育教学改革，加强专业品牌、学生品牌、教师品牌建设，建成</w:t>
      </w:r>
      <w:r>
        <w:rPr>
          <w:rFonts w:hint="eastAsia"/>
          <w:spacing w:val="-8"/>
          <w:lang w:val="en-US" w:eastAsia="zh-CN"/>
        </w:rPr>
        <w:t>省</w:t>
      </w:r>
      <w:r>
        <w:rPr>
          <w:rFonts w:hint="eastAsia"/>
          <w:spacing w:val="-8"/>
          <w:lang w:val="en-US"/>
        </w:rPr>
        <w:t>内一流的专业。</w:t>
      </w:r>
    </w:p>
    <w:p>
      <w:pPr>
        <w:pStyle w:val="3"/>
        <w:rPr>
          <w:color w:val="000000" w:themeColor="text1"/>
          <w14:textFill>
            <w14:solidFill>
              <w14:schemeClr w14:val="tx1"/>
            </w14:solidFill>
          </w14:textFill>
        </w:rPr>
      </w:pPr>
      <w:r>
        <w:rPr>
          <w:color w:val="000000" w:themeColor="text1"/>
          <w14:textFill>
            <w14:solidFill>
              <w14:schemeClr w14:val="tx1"/>
            </w14:solidFill>
          </w14:textFill>
        </w:rPr>
        <w:t xml:space="preserve">（二） </w:t>
      </w:r>
      <w:r>
        <w:rPr>
          <w:rFonts w:hint="eastAsia"/>
          <w:color w:val="000000" w:themeColor="text1"/>
          <w14:textFill>
            <w14:solidFill>
              <w14:schemeClr w14:val="tx1"/>
            </w14:solidFill>
          </w14:textFill>
        </w:rPr>
        <w:t>建设目标</w:t>
      </w:r>
      <w:bookmarkEnd w:id="11"/>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总体目标：</w:t>
      </w:r>
      <w:r>
        <w:rPr>
          <w:rFonts w:hint="eastAsia"/>
          <w:color w:val="000000" w:themeColor="text1"/>
          <w14:textFill>
            <w14:solidFill>
              <w14:schemeClr w14:val="tx1"/>
            </w14:solidFill>
          </w14:textFill>
        </w:rPr>
        <w:t>经过5年的建设，将电子信息工程技术建设成为江西省省级重点专业。</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持续加强</w:t>
      </w:r>
      <w:r>
        <w:rPr>
          <w:rFonts w:ascii="Helvetica" w:hAnsi="Helvetica"/>
          <w:color w:val="000000" w:themeColor="text1"/>
          <w:sz w:val="21"/>
          <w:szCs w:val="21"/>
          <w:shd w:val="clear" w:color="auto" w:fill="FFFFFF"/>
          <w14:textFill>
            <w14:solidFill>
              <w14:schemeClr w14:val="tx1"/>
            </w14:solidFill>
          </w14:textFill>
        </w:rPr>
        <w:t>“产教</w:t>
      </w:r>
      <w:r>
        <w:rPr>
          <w:rFonts w:hint="eastAsia" w:ascii="Helvetica" w:hAnsi="Helvetica"/>
          <w:color w:val="000000" w:themeColor="text1"/>
          <w:sz w:val="21"/>
          <w:szCs w:val="21"/>
          <w:shd w:val="clear" w:color="auto" w:fill="FFFFFF"/>
          <w14:textFill>
            <w14:solidFill>
              <w14:schemeClr w14:val="tx1"/>
            </w14:solidFill>
          </w14:textFill>
        </w:rPr>
        <w:t>融合</w:t>
      </w:r>
      <w:r>
        <w:rPr>
          <w:rFonts w:ascii="Helvetica" w:hAnsi="Helvetica"/>
          <w:color w:val="000000" w:themeColor="text1"/>
          <w:sz w:val="21"/>
          <w:szCs w:val="21"/>
          <w:shd w:val="clear" w:color="auto" w:fill="FFFFFF"/>
          <w14:textFill>
            <w14:solidFill>
              <w14:schemeClr w14:val="tx1"/>
            </w14:solidFill>
          </w14:textFill>
        </w:rPr>
        <w:t>、校企一体”的办学模式</w:t>
      </w:r>
      <w:r>
        <w:rPr>
          <w:rFonts w:hint="eastAsia"/>
          <w:color w:val="000000" w:themeColor="text1"/>
          <w14:textFill>
            <w14:solidFill>
              <w14:schemeClr w14:val="tx1"/>
            </w14:solidFill>
          </w14:textFill>
        </w:rPr>
        <w:t>，建立健全校企共赢的长效紧密型合作办学机制，积极拓宽1</w:t>
      </w:r>
      <w:r>
        <w:rPr>
          <w:color w:val="000000" w:themeColor="text1"/>
          <w14:textFill>
            <w14:solidFill>
              <w14:schemeClr w14:val="tx1"/>
            </w14:solidFill>
          </w14:textFill>
        </w:rPr>
        <w:t>+X</w:t>
      </w:r>
      <w:r>
        <w:rPr>
          <w:rFonts w:hint="eastAsia"/>
          <w:color w:val="000000" w:themeColor="text1"/>
          <w14:textFill>
            <w14:solidFill>
              <w14:schemeClr w14:val="tx1"/>
            </w14:solidFill>
          </w14:textFill>
        </w:rPr>
        <w:t>产证融合新模式，</w:t>
      </w:r>
      <w:r>
        <w:rPr>
          <w:color w:val="000000" w:themeColor="text1"/>
          <w14:textFill>
            <w14:solidFill>
              <w14:schemeClr w14:val="tx1"/>
            </w14:solidFill>
          </w14:textFill>
        </w:rPr>
        <w:t>坚定思想，坚持探索，认真把握好市场信息，依靠科技进步</w:t>
      </w:r>
      <w:r>
        <w:rPr>
          <w:rFonts w:hint="eastAsia"/>
          <w:color w:val="000000" w:themeColor="text1"/>
          <w14:textFill>
            <w14:solidFill>
              <w14:schemeClr w14:val="tx1"/>
            </w14:solidFill>
          </w14:textFill>
        </w:rPr>
        <w:t>打造</w:t>
      </w:r>
      <w:r>
        <w:rPr>
          <w:color w:val="000000" w:themeColor="text1"/>
          <w14:textFill>
            <w14:solidFill>
              <w14:schemeClr w14:val="tx1"/>
            </w14:solidFill>
          </w14:textFill>
        </w:rPr>
        <w:t>一支专兼结合</w:t>
      </w:r>
      <w:r>
        <w:rPr>
          <w:rFonts w:hint="eastAsia"/>
          <w:color w:val="000000" w:themeColor="text1"/>
          <w14:textFill>
            <w14:solidFill>
              <w14:schemeClr w14:val="tx1"/>
            </w14:solidFill>
          </w14:textFill>
        </w:rPr>
        <w:t>、结构合理，职业素质及职业技能过硬的双师型教师队伍；依托我省的2</w:t>
      </w:r>
      <w:r>
        <w:rPr>
          <w:color w:val="000000" w:themeColor="text1"/>
          <w14:textFill>
            <w14:solidFill>
              <w14:schemeClr w14:val="tx1"/>
            </w14:solidFill>
          </w14:textFill>
        </w:rPr>
        <w:t>+6+N</w:t>
      </w:r>
      <w:r>
        <w:rPr>
          <w:rFonts w:ascii="Times New Roman" w:hAnsi="Times New Roman" w:cs="Times New Roman"/>
          <w:color w:val="000000" w:themeColor="text1"/>
          <w14:textFill>
            <w14:solidFill>
              <w14:schemeClr w14:val="tx1"/>
            </w14:solidFill>
          </w14:textFill>
        </w:rPr>
        <w:t>工业强省战略</w:t>
      </w:r>
      <w:r>
        <w:rPr>
          <w:rFonts w:hint="eastAsia" w:ascii="Times New Roman" w:hAnsi="Times New Roman" w:cs="Times New Roman"/>
          <w:color w:val="000000" w:themeColor="text1"/>
          <w14:textFill>
            <w14:solidFill>
              <w14:schemeClr w14:val="tx1"/>
            </w14:solidFill>
          </w14:textFill>
        </w:rPr>
        <w:t>,加快培养能适应区域经济发展的高素质人才队伍，争创</w:t>
      </w:r>
      <w:r>
        <w:rPr>
          <w:rFonts w:hint="eastAsia"/>
          <w:color w:val="000000" w:themeColor="text1"/>
          <w14:textFill>
            <w14:solidFill>
              <w14:schemeClr w14:val="tx1"/>
            </w14:solidFill>
          </w14:textFill>
        </w:rPr>
        <w:t>省内领先、国内合格的</w:t>
      </w:r>
      <w:r>
        <w:rPr>
          <w:color w:val="000000" w:themeColor="text1"/>
          <w14:textFill>
            <w14:solidFill>
              <w14:schemeClr w14:val="tx1"/>
            </w14:solidFill>
          </w14:textFill>
        </w:rPr>
        <w:t>专业教学团队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加强校内</w:t>
      </w:r>
      <w:r>
        <w:rPr>
          <w:rFonts w:hint="eastAsia"/>
          <w:color w:val="000000" w:themeColor="text1"/>
          <w14:textFill>
            <w14:solidFill>
              <w14:schemeClr w14:val="tx1"/>
            </w14:solidFill>
          </w14:textFill>
        </w:rPr>
        <w:t>外</w:t>
      </w:r>
      <w:r>
        <w:rPr>
          <w:color w:val="000000" w:themeColor="text1"/>
          <w14:textFill>
            <w14:solidFill>
              <w14:schemeClr w14:val="tx1"/>
            </w14:solidFill>
          </w14:textFill>
        </w:rPr>
        <w:t>实训基地建设，</w:t>
      </w:r>
      <w:r>
        <w:rPr>
          <w:rFonts w:hint="eastAsia"/>
          <w:color w:val="000000" w:themeColor="text1"/>
          <w14:textFill>
            <w14:solidFill>
              <w14:schemeClr w14:val="tx1"/>
            </w14:solidFill>
          </w14:textFill>
        </w:rPr>
        <w:t>着力建设集资源共享、学生实训、技术服务、企业员工培训，承接为一体的</w:t>
      </w:r>
      <w:r>
        <w:rPr>
          <w:color w:val="000000" w:themeColor="text1"/>
          <w14:textFill>
            <w14:solidFill>
              <w14:schemeClr w14:val="tx1"/>
            </w14:solidFill>
          </w14:textFill>
        </w:rPr>
        <w:t>实训基地</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专业建设理念：</w:t>
      </w:r>
      <w:r>
        <w:rPr>
          <w:rFonts w:hint="eastAsia"/>
          <w:color w:val="000000" w:themeColor="text1"/>
          <w14:textFill>
            <w14:solidFill>
              <w14:schemeClr w14:val="tx1"/>
            </w14:solidFill>
          </w14:textFill>
        </w:rPr>
        <w:t>以行业发展趋势确定专业发展方向，以专业就业岗位确定职业能力和职业素质，以工学结合确立专业人才培养模式，以专业能力和职业素质构建专业核心课程，以学生必须掌握的工作过程和关键技术设计课程内容，以“教、学、做”一体化作为课程教学模式，继续推进学生参加省级、国家级各类技能大赛，提高获奖率和学习产出比。</w:t>
      </w:r>
    </w:p>
    <w:p>
      <w:pPr>
        <w:pStyle w:val="3"/>
        <w:rPr>
          <w:color w:val="000000" w:themeColor="text1"/>
          <w14:textFill>
            <w14:solidFill>
              <w14:schemeClr w14:val="tx1"/>
            </w14:solidFill>
          </w14:textFill>
        </w:rPr>
      </w:pPr>
      <w:bookmarkStart w:id="12" w:name="_Toc95516175"/>
      <w:r>
        <w:rPr>
          <w:color w:val="000000" w:themeColor="text1"/>
          <w14:textFill>
            <w14:solidFill>
              <w14:schemeClr w14:val="tx1"/>
            </w14:solidFill>
          </w14:textFill>
        </w:rPr>
        <w:t>（三） 建设思路</w:t>
      </w:r>
      <w:bookmarkEnd w:id="12"/>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bookmarkStart w:id="13" w:name="_Toc95516176"/>
      <w:r>
        <w:rPr>
          <w:rFonts w:hint="eastAsia"/>
          <w:spacing w:val="-8"/>
          <w:lang w:val="en-US" w:eastAsia="zh-CN"/>
        </w:rPr>
        <w:t>以服务区域经济发展，省内一流为建设目标，关注国家和行业发展趋势，以人才需求为导向，以国家级现代学徒制为建设基础，整合众多知名行业企业资源，政行企校协同创新，构建基于真实企业项目的课程体系，建设优质教学资源，打造院级资源库。通过外引内培，初步打造一支优秀的教师团队。组织业内专家及学校骨干教师，对本专业人才培养目标进行分析，结合行业背景和区域优势，根据不同岗位群的特点，确定毕业生应具备的专业技能结构和要素，通过改革，逐步形成以基础能力、专项能力为基础，综合能力为重点，三个层面有机结合的实践教学体系。打造以国内知名企业为主体集创新创业为一体的生产性实训基地，同时积极开展科研和社会服务工作，用科研服务社会，服务地方经济建设。</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建设任务</w:t>
      </w:r>
      <w:r>
        <w:rPr>
          <w:rFonts w:hint="eastAsia"/>
          <w:color w:val="000000" w:themeColor="text1"/>
          <w14:textFill>
            <w14:solidFill>
              <w14:schemeClr w14:val="tx1"/>
            </w14:solidFill>
          </w14:textFill>
        </w:rPr>
        <w:t>与举措</w:t>
      </w:r>
      <w:bookmarkEnd w:id="13"/>
    </w:p>
    <w:p>
      <w:pPr>
        <w:pStyle w:val="3"/>
        <w:rPr>
          <w:color w:val="000000" w:themeColor="text1"/>
          <w14:textFill>
            <w14:solidFill>
              <w14:schemeClr w14:val="tx1"/>
            </w14:solidFill>
          </w14:textFill>
        </w:rPr>
      </w:pPr>
      <w:bookmarkStart w:id="14" w:name="_Toc95516177"/>
      <w:r>
        <w:rPr>
          <w:rFonts w:hint="eastAsia"/>
          <w:color w:val="000000" w:themeColor="text1"/>
          <w14:textFill>
            <w14:solidFill>
              <w14:schemeClr w14:val="tx1"/>
            </w14:solidFill>
          </w14:textFill>
        </w:rPr>
        <w:t>（一）人才培养模式改革</w:t>
      </w:r>
      <w:bookmarkEnd w:id="14"/>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1、融合职业资格标准，构建“教、学、做一体化”课程体系</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实现课程与课程之间的重组和调整，避免简单重复并使知识结构更为合理。如许多专业都对一些相互间有重复内容的课程进行了重组与整合，从而使课程既相互之间避免简单重复。课程自身内容的删繁就简、去旧纳新，特别是要增加反映近现代科学技术知识和新成果内容的新课程，或增设学科交叉的综合课程等。</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2.开展市场调研</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为使我院电子信息工程技术专业人才培养目标能充分体现职业教育的实践性，体现示范性高职院校先进性，将该专业做特做强，同时与企业需求实现“零距离”对接，电子信息工程技术专业教学团队每年展开了对电子信息工程技术专业人才需求调研工作；调查过程应体现全面、细致、具体、高效的原则，确保调研报告数据翔实、可参考性强。</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调研需从行业协会、企业、兄弟院校等单位深入沟通，提出电子信息工程技术专业改革思路和建议。</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3.制定人才培养方案</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为贯彻落实《教育部关于深化职业教育教学改革全面提高人才培养质量的若干意见》（教职成〔2015〕6 号）等文件精神，进一步提高电子信息工程技术专业人才培养质量，每年对专业人才培养方案进行修订和完善。人才培养方案制定参照高等职业教育电子信息工程技术专业教学标准，制定符合学院人才培养方案编制相关文件要求的电子信息工程技术专业人才培养方案，准确翔实描述人才培养规格，合理设置课程体系，科学安排教学进程，有效支撑工学结合的人才培养模式，全面落实立德树人的根本任务。</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4.以服务为宗旨，以就业为导向，深化校企合作</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国家中长期教育改革和发展规划纲要》提出，“把提高质量作为重点。实行工学结合、校企合作、顶岗实习的人才培养模式。工学结合是培养高技能人才的有效途径，而校企合作是工学结合的重要基础和保障”，本专业同企业密切合作，建立了至少</w:t>
      </w:r>
      <w:r>
        <w:rPr>
          <w:color w:val="000000" w:themeColor="text1"/>
          <w:spacing w:val="-8"/>
          <w14:textFill>
            <w14:solidFill>
              <w14:schemeClr w14:val="tx1"/>
            </w14:solidFill>
          </w14:textFill>
        </w:rPr>
        <w:t>2</w:t>
      </w:r>
      <w:r>
        <w:rPr>
          <w:rFonts w:hint="eastAsia"/>
          <w:color w:val="000000" w:themeColor="text1"/>
          <w:spacing w:val="-8"/>
          <w14:textFill>
            <w14:solidFill>
              <w14:schemeClr w14:val="tx1"/>
            </w14:solidFill>
          </w14:textFill>
        </w:rPr>
        <w:t>个稳定的校企合作基地。</w:t>
      </w:r>
    </w:p>
    <w:p>
      <w:pPr>
        <w:pStyle w:val="3"/>
        <w:rPr>
          <w:color w:val="000000" w:themeColor="text1"/>
          <w14:textFill>
            <w14:solidFill>
              <w14:schemeClr w14:val="tx1"/>
            </w14:solidFill>
          </w14:textFill>
        </w:rPr>
      </w:pPr>
      <w:bookmarkStart w:id="15" w:name="_Toc28916"/>
      <w:bookmarkStart w:id="16" w:name="_Toc95516178"/>
      <w:r>
        <w:rPr>
          <w:rFonts w:hint="eastAsia"/>
          <w:color w:val="000000" w:themeColor="text1"/>
          <w14:textFill>
            <w14:solidFill>
              <w14:schemeClr w14:val="tx1"/>
            </w14:solidFill>
          </w14:textFill>
        </w:rPr>
        <w:t>（二）教学改革与资源建设</w:t>
      </w:r>
      <w:bookmarkEnd w:id="15"/>
      <w:bookmarkEnd w:id="16"/>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1．教学模式及方法改革</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根据高技能电子信息工程技术专业人才培养的实际需要，依托企业技术骨干和行业专家，改革课程教学内容、教学方法、教学手段和评价方式， 积极推进教师团队进行教学改革项目研究。</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将《单片机原理及应用》、《通信与网络技术》、《SMT技术基础与设备》、《电子产品设计与制作》等专业核心课程实施“教学做一体化”改革，不断推进教学模式和教学方法改革，融合新时代发展趋势推进线上线下混合式教学模式应用，积极开展教师信息化教学能力培训，不断完善将信息化教学融入到每一门专业课程的教学全过程中，促进自主、泛在、个性化学习；此外课程考核与课程改革相结合，融入学生、教师和企业等相关因素进行多元考核，有效调动学生学习兴趣，最大限度还原学生的真实水平，实现过程性考核，提升教学质量。</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2.教学资源建设</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力争在未来五年间不断打造优质教学资源，建成并推进院级信息化资源库，争取申报1</w:t>
      </w:r>
      <w:r>
        <w:rPr>
          <w:color w:val="000000" w:themeColor="text1"/>
          <w:spacing w:val="-8"/>
          <w14:textFill>
            <w14:solidFill>
              <w14:schemeClr w14:val="tx1"/>
            </w14:solidFill>
          </w14:textFill>
        </w:rPr>
        <w:t>-2</w:t>
      </w:r>
      <w:r>
        <w:rPr>
          <w:rFonts w:hint="eastAsia"/>
          <w:color w:val="000000" w:themeColor="text1"/>
          <w:spacing w:val="-8"/>
          <w14:textFill>
            <w14:solidFill>
              <w14:schemeClr w14:val="tx1"/>
            </w14:solidFill>
          </w14:textFill>
        </w:rPr>
        <w:t>门省级精品在线开放课程和4门校级精品课程。</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未来五年我们将持续推进校企合作开发教材的编写与应用，推进《电气控制与P</w:t>
      </w:r>
      <w:r>
        <w:rPr>
          <w:color w:val="000000" w:themeColor="text1"/>
          <w:spacing w:val="-8"/>
          <w14:textFill>
            <w14:solidFill>
              <w14:schemeClr w14:val="tx1"/>
            </w14:solidFill>
          </w14:textFill>
        </w:rPr>
        <w:t>LC</w:t>
      </w:r>
      <w:r>
        <w:rPr>
          <w:rFonts w:hint="eastAsia"/>
          <w:color w:val="000000" w:themeColor="text1"/>
          <w:spacing w:val="-8"/>
          <w14:textFill>
            <w14:solidFill>
              <w14:schemeClr w14:val="tx1"/>
            </w14:solidFill>
          </w14:textFill>
        </w:rPr>
        <w:t>》、《数字电子技术》、《单片机原理及应用》等“新形态一体化”教材的编写。</w:t>
      </w:r>
    </w:p>
    <w:p>
      <w:pPr>
        <w:pStyle w:val="3"/>
        <w:rPr>
          <w:color w:val="000000" w:themeColor="text1"/>
          <w14:textFill>
            <w14:solidFill>
              <w14:schemeClr w14:val="tx1"/>
            </w14:solidFill>
          </w14:textFill>
        </w:rPr>
      </w:pPr>
      <w:bookmarkStart w:id="17" w:name="_Toc95516179"/>
      <w:bookmarkStart w:id="18" w:name="_Toc32361"/>
      <w:r>
        <w:rPr>
          <w:rFonts w:hint="eastAsia"/>
          <w:color w:val="000000" w:themeColor="text1"/>
          <w14:textFill>
            <w14:solidFill>
              <w14:schemeClr w14:val="tx1"/>
            </w14:solidFill>
          </w14:textFill>
        </w:rPr>
        <w:t>（三）师资队伍建设</w:t>
      </w:r>
      <w:bookmarkEnd w:id="17"/>
      <w:bookmarkEnd w:id="18"/>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1.培养专业带头人后备力量</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培养 至少1 名校内专业群带头人，作为专业团队带头人的后备力量，通过国际交流、参与重点项目、国内学习、高校访问进修等形式提升专业群带头人专业建设能力、前瞻能力、科研与技术服务能力，保证团队的可持续性发展。</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2.骨干教师培养</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选拔至少 2 名优秀教师，作为专业骨干教师重点培养对象，鼓励教师到国内外著名高校进行学历提升、业务进修、下企业锻炼、到企业行业开展技术合作，使参与项目开发的教师达 60%</w:t>
      </w:r>
      <w:r>
        <w:rPr>
          <w:rFonts w:hint="eastAsia"/>
          <w:color w:val="000000" w:themeColor="text1"/>
          <w:spacing w:val="-8"/>
          <w14:textFill>
            <w14:solidFill>
              <w14:schemeClr w14:val="tx1"/>
            </w14:solidFill>
          </w14:textFill>
        </w:rPr>
        <w:t>以上。</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3.兼职教师建设</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利用校企合作，积极吸引行业、企业有丰富实践经验的技术人员充实到兼职教师团队，计划新增 5-7</w:t>
      </w:r>
      <w:r>
        <w:rPr>
          <w:rFonts w:hint="eastAsia"/>
          <w:color w:val="000000" w:themeColor="text1"/>
          <w:spacing w:val="-8"/>
          <w14:textFill>
            <w14:solidFill>
              <w14:schemeClr w14:val="tx1"/>
            </w14:solidFill>
          </w14:textFill>
        </w:rPr>
        <w:t xml:space="preserve"> 名兼职教师，建立不少于 10</w:t>
      </w:r>
      <w:r>
        <w:rPr>
          <w:rFonts w:hint="eastAsia"/>
          <w:color w:val="000000" w:themeColor="text1"/>
          <w:spacing w:val="-8"/>
          <w14:textFill>
            <w14:solidFill>
              <w14:schemeClr w14:val="tx1"/>
            </w14:solidFill>
          </w14:textFill>
        </w:rPr>
        <w:t xml:space="preserve"> 人的兼职教师资源库，建立一支结构合理且师资稳定又灵活多变的“双师”结构团队。</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4.师资培训</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建立了完善的教师培养规划和轮训机制。规定专任教师每三年需完成累计不少于六个月的企业实践锻炼，加大师资培训的费用支出。</w:t>
      </w:r>
    </w:p>
    <w:p>
      <w:pPr>
        <w:pStyle w:val="5"/>
        <w:ind w:left="119" w:right="397" w:firstLine="448"/>
        <w:rPr>
          <w:rFonts w:hint="eastAsia"/>
          <w:color w:val="000000" w:themeColor="text1"/>
          <w:spacing w:val="-8"/>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5.具体指标</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专职教师的生师比达到18:1</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具有硕士学位以上教师比例达到50%以上</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高级职称比例达到 50%以上</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“双师”素质专业教师达到 90%以上</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建立6名以上的校外兼职教师资源库。</w:t>
      </w:r>
    </w:p>
    <w:p>
      <w:pPr>
        <w:pStyle w:val="3"/>
        <w:spacing w:before="163" w:beforeLines="50" w:after="163" w:afterLines="50"/>
        <w:ind w:left="119"/>
        <w:rPr>
          <w:color w:val="000000" w:themeColor="text1"/>
          <w14:textFill>
            <w14:solidFill>
              <w14:schemeClr w14:val="tx1"/>
            </w14:solidFill>
          </w14:textFill>
        </w:rPr>
      </w:pPr>
      <w:bookmarkStart w:id="19" w:name="_Toc25690"/>
      <w:bookmarkStart w:id="20" w:name="_Toc95516180"/>
      <w:r>
        <w:rPr>
          <w:rFonts w:hint="eastAsia"/>
          <w:color w:val="000000" w:themeColor="text1"/>
          <w14:textFill>
            <w14:solidFill>
              <w14:schemeClr w14:val="tx1"/>
            </w14:solidFill>
          </w14:textFill>
        </w:rPr>
        <w:t>（四）实训条件建设</w:t>
      </w:r>
      <w:bookmarkEnd w:id="19"/>
      <w:bookmarkEnd w:id="20"/>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1.校内实践基地</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未来五年，在原有实训基地基础上，推陈出新，对原有实训室进行改造和完善，同时拟建设电工电子实验实训中心，包含电工电子实训室，</w:t>
      </w:r>
      <w:r>
        <w:rPr>
          <w:color w:val="000000" w:themeColor="text1"/>
          <w:spacing w:val="-8"/>
          <w14:textFill>
            <w14:solidFill>
              <w14:schemeClr w14:val="tx1"/>
            </w14:solidFill>
          </w14:textFill>
        </w:rPr>
        <w:t>电子产品测试与工艺实训室、电子产品装配与电子工艺实训室</w:t>
      </w:r>
      <w:r>
        <w:rPr>
          <w:rFonts w:hint="eastAsia"/>
          <w:color w:val="000000" w:themeColor="text1"/>
          <w:spacing w:val="-8"/>
          <w14:textFill>
            <w14:solidFill>
              <w14:schemeClr w14:val="tx1"/>
            </w14:solidFill>
          </w14:textFill>
        </w:rPr>
        <w:t>、</w:t>
      </w:r>
      <w:r>
        <w:rPr>
          <w:color w:val="000000" w:themeColor="text1"/>
          <w:spacing w:val="-8"/>
          <w14:textFill>
            <w14:solidFill>
              <w14:schemeClr w14:val="tx1"/>
            </w14:solidFill>
          </w14:textFill>
        </w:rPr>
        <w:t>系统集成实训室；EDA技术实训室</w:t>
      </w:r>
      <w:r>
        <w:rPr>
          <w:rFonts w:hint="eastAsia"/>
          <w:color w:val="000000" w:themeColor="text1"/>
          <w:spacing w:val="-8"/>
          <w14:textFill>
            <w14:solidFill>
              <w14:schemeClr w14:val="tx1"/>
            </w14:solidFill>
          </w14:textFill>
        </w:rPr>
        <w:t>共5个实训室（群）。包括硬件实训条件建设和软件教学资源建设两部分，硬件实训条件包括嵌入式实训室，微电子综合实训室和电子产品工艺实训室等，软件教学资源建设包括购买电子仿真软件、编写实训指导书和实训课程教材编写等。项目建设资金共</w:t>
      </w:r>
      <w:r>
        <w:rPr>
          <w:color w:val="000000" w:themeColor="text1"/>
          <w:spacing w:val="-8"/>
          <w14:textFill>
            <w14:solidFill>
              <w14:schemeClr w14:val="tx1"/>
            </w14:solidFill>
          </w14:textFill>
        </w:rPr>
        <w:t>100</w:t>
      </w:r>
      <w:r>
        <w:rPr>
          <w:rFonts w:hint="eastAsia"/>
          <w:color w:val="000000" w:themeColor="text1"/>
          <w:spacing w:val="-8"/>
          <w14:textFill>
            <w14:solidFill>
              <w14:schemeClr w14:val="tx1"/>
            </w14:solidFill>
          </w14:textFill>
        </w:rPr>
        <w:t>万元，其中，江西省民办教育发展资金建设资金</w:t>
      </w:r>
      <w:r>
        <w:rPr>
          <w:color w:val="000000" w:themeColor="text1"/>
          <w:spacing w:val="-8"/>
          <w14:textFill>
            <w14:solidFill>
              <w14:schemeClr w14:val="tx1"/>
            </w14:solidFill>
          </w14:textFill>
        </w:rPr>
        <w:t>70</w:t>
      </w:r>
      <w:r>
        <w:rPr>
          <w:rFonts w:hint="eastAsia"/>
          <w:color w:val="000000" w:themeColor="text1"/>
          <w:spacing w:val="-8"/>
          <w14:textFill>
            <w14:solidFill>
              <w14:schemeClr w14:val="tx1"/>
            </w14:solidFill>
          </w14:textFill>
        </w:rPr>
        <w:t>万元，学校自筹</w:t>
      </w:r>
      <w:r>
        <w:rPr>
          <w:color w:val="000000" w:themeColor="text1"/>
          <w:spacing w:val="-8"/>
          <w14:textFill>
            <w14:solidFill>
              <w14:schemeClr w14:val="tx1"/>
            </w14:solidFill>
          </w14:textFill>
        </w:rPr>
        <w:t>30</w:t>
      </w:r>
      <w:r>
        <w:rPr>
          <w:rFonts w:hint="eastAsia"/>
          <w:color w:val="000000" w:themeColor="text1"/>
          <w:spacing w:val="-8"/>
          <w14:textFill>
            <w14:solidFill>
              <w14:schemeClr w14:val="tx1"/>
            </w14:solidFill>
          </w14:textFill>
        </w:rPr>
        <w:t>万元。</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项目拟建成后可为电子信息工程技术专业，电气自动化技术专业，物联网工程专业的实践教学提供多层次多方向的技术开发创造必要条件，具体拟达到的预期目标为：</w:t>
      </w:r>
    </w:p>
    <w:p>
      <w:pPr>
        <w:pStyle w:val="5"/>
        <w:numPr>
          <w:ilvl w:val="0"/>
          <w:numId w:val="1"/>
        </w:numPr>
        <w:ind w:right="397" w:firstLineChars="0"/>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满足</w:t>
      </w:r>
      <w:r>
        <w:rPr>
          <w:color w:val="000000" w:themeColor="text1"/>
          <w:spacing w:val="-8"/>
          <w14:textFill>
            <w14:solidFill>
              <w14:schemeClr w14:val="tx1"/>
            </w14:solidFill>
          </w14:textFill>
        </w:rPr>
        <w:t>电工、电子技术</w:t>
      </w:r>
      <w:r>
        <w:rPr>
          <w:rFonts w:hint="eastAsia"/>
          <w:color w:val="000000" w:themeColor="text1"/>
          <w:spacing w:val="-8"/>
          <w14:textFill>
            <w14:solidFill>
              <w14:schemeClr w14:val="tx1"/>
            </w14:solidFill>
          </w14:textFill>
        </w:rPr>
        <w:t>课程的基础实验实训</w:t>
      </w:r>
      <w:r>
        <w:rPr>
          <w:color w:val="000000" w:themeColor="text1"/>
          <w:spacing w:val="-8"/>
          <w14:textFill>
            <w14:solidFill>
              <w14:schemeClr w14:val="tx1"/>
            </w14:solidFill>
          </w14:textFill>
        </w:rPr>
        <w:t>（含电工、模拟和数字电路实验）；</w:t>
      </w:r>
    </w:p>
    <w:p>
      <w:pPr>
        <w:pStyle w:val="5"/>
        <w:numPr>
          <w:ilvl w:val="0"/>
          <w:numId w:val="1"/>
        </w:numPr>
        <w:ind w:right="397" w:firstLineChars="0"/>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满足</w:t>
      </w:r>
      <w:r>
        <w:rPr>
          <w:color w:val="000000" w:themeColor="text1"/>
          <w:spacing w:val="-8"/>
          <w14:textFill>
            <w14:solidFill>
              <w14:schemeClr w14:val="tx1"/>
            </w14:solidFill>
          </w14:textFill>
        </w:rPr>
        <w:t>电子产品</w:t>
      </w:r>
      <w:r>
        <w:rPr>
          <w:rFonts w:hint="eastAsia"/>
          <w:color w:val="000000" w:themeColor="text1"/>
          <w:spacing w:val="-8"/>
          <w14:textFill>
            <w14:solidFill>
              <w14:schemeClr w14:val="tx1"/>
            </w14:solidFill>
          </w14:textFill>
        </w:rPr>
        <w:t>设计，测试与制作</w:t>
      </w:r>
      <w:r>
        <w:rPr>
          <w:color w:val="000000" w:themeColor="text1"/>
          <w:spacing w:val="-8"/>
          <w14:textFill>
            <w14:solidFill>
              <w14:schemeClr w14:val="tx1"/>
            </w14:solidFill>
          </w14:textFill>
        </w:rPr>
        <w:t>；</w:t>
      </w:r>
    </w:p>
    <w:p>
      <w:pPr>
        <w:pStyle w:val="5"/>
        <w:numPr>
          <w:ilvl w:val="0"/>
          <w:numId w:val="1"/>
        </w:numPr>
        <w:ind w:right="397" w:firstLineChars="0"/>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满足</w:t>
      </w:r>
      <w:r>
        <w:rPr>
          <w:color w:val="000000" w:themeColor="text1"/>
          <w:spacing w:val="-8"/>
          <w14:textFill>
            <w14:solidFill>
              <w14:schemeClr w14:val="tx1"/>
            </w14:solidFill>
          </w14:textFill>
        </w:rPr>
        <w:t>系统集成</w:t>
      </w:r>
      <w:r>
        <w:rPr>
          <w:rFonts w:hint="eastAsia"/>
          <w:color w:val="000000" w:themeColor="text1"/>
          <w:spacing w:val="-8"/>
          <w14:textFill>
            <w14:solidFill>
              <w14:schemeClr w14:val="tx1"/>
            </w14:solidFill>
          </w14:textFill>
        </w:rPr>
        <w:t>的开发与设计</w:t>
      </w:r>
      <w:r>
        <w:rPr>
          <w:color w:val="000000" w:themeColor="text1"/>
          <w:spacing w:val="-8"/>
          <w14:textFill>
            <w14:solidFill>
              <w14:schemeClr w14:val="tx1"/>
            </w14:solidFill>
          </w14:textFill>
        </w:rPr>
        <w:t>；</w:t>
      </w:r>
    </w:p>
    <w:p>
      <w:pPr>
        <w:pStyle w:val="5"/>
        <w:numPr>
          <w:ilvl w:val="0"/>
          <w:numId w:val="1"/>
        </w:numPr>
        <w:ind w:right="397" w:firstLineChars="0"/>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承担电子电路设计、PCB设计和IC设计等实践教学</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除了能满足以上学生实验实训的预期目标外，还可以为满足教师的课题开发，技术创新等创造一定的条件。</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2.校外实践基地</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未来5年我们拟建立至少</w:t>
      </w:r>
      <w:r>
        <w:rPr>
          <w:color w:val="000000" w:themeColor="text1"/>
          <w:spacing w:val="-8"/>
          <w14:textFill>
            <w14:solidFill>
              <w14:schemeClr w14:val="tx1"/>
            </w14:solidFill>
          </w14:textFill>
        </w:rPr>
        <w:t>2</w:t>
      </w:r>
      <w:r>
        <w:rPr>
          <w:rFonts w:hint="eastAsia"/>
          <w:color w:val="000000" w:themeColor="text1"/>
          <w:spacing w:val="-8"/>
          <w14:textFill>
            <w14:solidFill>
              <w14:schemeClr w14:val="tx1"/>
            </w14:solidFill>
          </w14:textFill>
        </w:rPr>
        <w:t>个校外实践基地，为校企共同制定校外实践教学方案，共同组织实施实践教学、顶岗实习等校外实习提供更优质服务。</w:t>
      </w:r>
    </w:p>
    <w:p>
      <w:pPr>
        <w:pStyle w:val="3"/>
        <w:rPr>
          <w:rFonts w:eastAsiaTheme="minorEastAsia"/>
          <w:color w:val="000000" w:themeColor="text1"/>
          <w14:textFill>
            <w14:solidFill>
              <w14:schemeClr w14:val="tx1"/>
            </w14:solidFill>
          </w14:textFill>
        </w:rPr>
      </w:pPr>
      <w:bookmarkStart w:id="21" w:name="_Toc95516181"/>
      <w:bookmarkStart w:id="22" w:name="_Toc8268"/>
      <w:r>
        <w:rPr>
          <w:rFonts w:hint="eastAsia"/>
          <w:color w:val="000000" w:themeColor="text1"/>
          <w14:textFill>
            <w14:solidFill>
              <w14:schemeClr w14:val="tx1"/>
            </w14:solidFill>
          </w14:textFill>
        </w:rPr>
        <w:t>（五）社会服务能力建设</w:t>
      </w:r>
      <w:bookmarkEnd w:id="21"/>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1、社会培训</w:t>
      </w:r>
      <w:bookmarkEnd w:id="22"/>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未来五年，电工电子实验实训中心（群）将成为本区域内的开放型、共享型、示范性的专业性职业教育实训基地，并在江西省微电子类高职业教育中发挥辐射作用，成为共青城地区域内社会人员电子技能培训提供相关服务。</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专业实训基地建成后，将使职业教育实训基地培训能力大幅度提升。为1+X证书培训、为学生和社会人员的职业资格鉴定，为电子技术人员的继续教育、再就业、转岗、进城务工人员的电子技术培训提供有力保障。</w:t>
      </w:r>
    </w:p>
    <w:p>
      <w:pPr>
        <w:pStyle w:val="5"/>
        <w:ind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在实训室全面推行“学中做、做中学”的教学模式，实施项目课程教学，以电子通信与电子产品开发工作任务为教学内容，教学顺序按照项目编排来展开，重点是教会学生如何完成工作任务，知识、技能学习结合任务完成过程来进行，并为全国全省职业院校技能大赛（电子信息类）打下坚实基础。全面培养学生的实践能力、创新意识和创造能力。在组织运行过程中注意营造良好的企业文化氛围，培养学生的职业技能、职业道德、质量意识、安全意识、协作精神，以及发现、分析、解决问题的能力。</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2.促成技能服务外包及研究成果转化</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依托校企合作联盟，本区域中小微企业发展提供技术服务。依托技术技能服务平台，产学 研合作进行成果转化，服务赣江新区、“一带一路”、乡村振兴等国家战略，不断增强我院技术转换及横向技术服务能力。</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3.积累科研成果，实现课题立项新突破</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以本省</w:t>
      </w:r>
      <w:r>
        <w:rPr>
          <w:color w:val="000000" w:themeColor="text1"/>
          <w:spacing w:val="-8"/>
          <w14:textFill>
            <w14:solidFill>
              <w14:schemeClr w14:val="tx1"/>
            </w14:solidFill>
          </w14:textFill>
        </w:rPr>
        <w:t xml:space="preserve"> “”</w:t>
      </w:r>
      <w:r>
        <w:rPr>
          <w:rFonts w:hint="eastAsia"/>
          <w:color w:val="000000" w:themeColor="text1"/>
          <w:spacing w:val="-8"/>
          <w14:textFill>
            <w14:solidFill>
              <w14:schemeClr w14:val="tx1"/>
            </w14:solidFill>
          </w14:textFill>
        </w:rPr>
        <w:t>2</w:t>
      </w:r>
      <w:r>
        <w:rPr>
          <w:color w:val="000000" w:themeColor="text1"/>
          <w:spacing w:val="-8"/>
          <w14:textFill>
            <w14:solidFill>
              <w14:schemeClr w14:val="tx1"/>
            </w14:solidFill>
          </w14:textFill>
        </w:rPr>
        <w:t>+6+N产业高质量跨越式发展行动</w:t>
      </w:r>
      <w:r>
        <w:rPr>
          <w:rFonts w:hint="eastAsia"/>
          <w:color w:val="000000" w:themeColor="text1"/>
          <w:spacing w:val="-8"/>
          <w14:textFill>
            <w14:solidFill>
              <w14:schemeClr w14:val="tx1"/>
            </w14:solidFill>
          </w14:textFill>
        </w:rPr>
        <w:t>为契机，推动科研全面发展，积极开展科研，5 年公开发表论文不少于</w:t>
      </w:r>
      <w:r>
        <w:rPr>
          <w:color w:val="000000" w:themeColor="text1"/>
          <w:spacing w:val="-8"/>
          <w14:textFill>
            <w14:solidFill>
              <w14:schemeClr w14:val="tx1"/>
            </w14:solidFill>
          </w14:textFill>
        </w:rPr>
        <w:t>10</w:t>
      </w:r>
      <w:r>
        <w:rPr>
          <w:rFonts w:hint="eastAsia"/>
          <w:color w:val="000000" w:themeColor="text1"/>
          <w:spacing w:val="-8"/>
          <w14:textFill>
            <w14:solidFill>
              <w14:schemeClr w14:val="tx1"/>
            </w14:solidFill>
          </w14:textFill>
        </w:rPr>
        <w:t xml:space="preserve"> 篇（中文核心</w:t>
      </w:r>
      <w:r>
        <w:rPr>
          <w:color w:val="000000" w:themeColor="text1"/>
          <w:spacing w:val="-8"/>
          <w14:textFill>
            <w14:solidFill>
              <w14:schemeClr w14:val="tx1"/>
            </w14:solidFill>
          </w14:textFill>
        </w:rPr>
        <w:t>2</w:t>
      </w:r>
      <w:r>
        <w:rPr>
          <w:rFonts w:hint="eastAsia"/>
          <w:color w:val="000000" w:themeColor="text1"/>
          <w:spacing w:val="-8"/>
          <w14:textFill>
            <w14:solidFill>
              <w14:schemeClr w14:val="tx1"/>
            </w14:solidFill>
          </w14:textFill>
        </w:rPr>
        <w:t>篇以上）；</w:t>
      </w:r>
      <w:r>
        <w:rPr>
          <w:color w:val="000000" w:themeColor="text1"/>
          <w:spacing w:val="-8"/>
          <w14:textFill>
            <w14:solidFill>
              <w14:schemeClr w14:val="tx1"/>
            </w14:solidFill>
          </w14:textFill>
        </w:rPr>
        <w:t>承办学术交流活动不少于 1 场</w:t>
      </w:r>
      <w:r>
        <w:rPr>
          <w:rFonts w:hint="eastAsia"/>
          <w:color w:val="000000" w:themeColor="text1"/>
          <w:spacing w:val="-8"/>
          <w14:textFill>
            <w14:solidFill>
              <w14:schemeClr w14:val="tx1"/>
            </w14:solidFill>
          </w14:textFill>
        </w:rPr>
        <w:t>；获得校级以上教学成果奖1项。</w:t>
      </w:r>
    </w:p>
    <w:p>
      <w:pPr>
        <w:pStyle w:val="3"/>
        <w:rPr>
          <w:color w:val="000000" w:themeColor="text1"/>
          <w14:textFill>
            <w14:solidFill>
              <w14:schemeClr w14:val="tx1"/>
            </w14:solidFill>
          </w14:textFill>
        </w:rPr>
      </w:pPr>
      <w:bookmarkStart w:id="23" w:name="_Toc95516182"/>
      <w:r>
        <w:rPr>
          <w:color w:val="000000" w:themeColor="text1"/>
          <w14:textFill>
            <w14:solidFill>
              <w14:schemeClr w14:val="tx1"/>
            </w14:solidFill>
          </w14:textFill>
        </w:rPr>
        <w:t>（六）建设成效</w:t>
      </w:r>
      <w:bookmarkEnd w:id="23"/>
    </w:p>
    <w:p>
      <w:pPr>
        <w:pStyle w:val="5"/>
        <w:ind w:left="119" w:right="397" w:firstLine="448"/>
        <w:rPr>
          <w:color w:val="000000" w:themeColor="text1"/>
          <w:spacing w:val="-8"/>
          <w14:textFill>
            <w14:solidFill>
              <w14:schemeClr w14:val="tx1"/>
            </w14:solidFill>
          </w14:textFill>
        </w:rPr>
      </w:pPr>
      <w:r>
        <w:rPr>
          <w:color w:val="000000" w:themeColor="text1"/>
          <w:spacing w:val="-8"/>
          <w14:textFill>
            <w14:solidFill>
              <w14:schemeClr w14:val="tx1"/>
            </w14:solidFill>
          </w14:textFill>
        </w:rPr>
        <w:t>经过</w:t>
      </w:r>
      <w:r>
        <w:rPr>
          <w:rFonts w:hint="eastAsia"/>
          <w:color w:val="000000" w:themeColor="text1"/>
          <w:spacing w:val="-8"/>
          <w14:textFill>
            <w14:solidFill>
              <w14:schemeClr w14:val="tx1"/>
            </w14:solidFill>
          </w14:textFill>
        </w:rPr>
        <w:t>五</w:t>
      </w:r>
      <w:r>
        <w:rPr>
          <w:color w:val="000000" w:themeColor="text1"/>
          <w:spacing w:val="-8"/>
          <w14:textFill>
            <w14:solidFill>
              <w14:schemeClr w14:val="tx1"/>
            </w14:solidFill>
          </w14:textFill>
        </w:rPr>
        <w:t>年建设将我专业打造成省级骨干专业；到 2025 年建成</w:t>
      </w:r>
      <w:r>
        <w:rPr>
          <w:rFonts w:hint="eastAsia"/>
          <w:color w:val="000000" w:themeColor="text1"/>
          <w:spacing w:val="-8"/>
          <w14:textFill>
            <w14:solidFill>
              <w14:schemeClr w14:val="tx1"/>
            </w14:solidFill>
          </w14:textFill>
        </w:rPr>
        <w:t>电子信息工程技术</w:t>
      </w:r>
      <w:r>
        <w:rPr>
          <w:color w:val="000000" w:themeColor="text1"/>
          <w:spacing w:val="-8"/>
          <w14:textFill>
            <w14:solidFill>
              <w14:schemeClr w14:val="tx1"/>
            </w14:solidFill>
          </w14:textFill>
        </w:rPr>
        <w:t>院级教学资源库，完成一门省级、三门院级在线开放课程建设。在</w:t>
      </w:r>
      <w:r>
        <w:rPr>
          <w:rFonts w:hint="eastAsia"/>
          <w:color w:val="000000" w:themeColor="text1"/>
          <w:spacing w:val="-8"/>
          <w14:textFill>
            <w14:solidFill>
              <w14:schemeClr w14:val="tx1"/>
            </w14:solidFill>
          </w14:textFill>
        </w:rPr>
        <w:t>省</w:t>
      </w:r>
      <w:r>
        <w:rPr>
          <w:color w:val="000000" w:themeColor="text1"/>
          <w:spacing w:val="-8"/>
          <w14:textFill>
            <w14:solidFill>
              <w14:schemeClr w14:val="tx1"/>
            </w14:solidFill>
          </w14:textFill>
        </w:rPr>
        <w:t>级电子</w:t>
      </w:r>
      <w:r>
        <w:rPr>
          <w:rFonts w:hint="eastAsia"/>
          <w:color w:val="000000" w:themeColor="text1"/>
          <w:spacing w:val="-8"/>
          <w14:textFill>
            <w14:solidFill>
              <w14:schemeClr w14:val="tx1"/>
            </w14:solidFill>
          </w14:textFill>
        </w:rPr>
        <w:t>信息</w:t>
      </w:r>
      <w:r>
        <w:rPr>
          <w:color w:val="000000" w:themeColor="text1"/>
          <w:spacing w:val="-8"/>
          <w14:textFill>
            <w14:solidFill>
              <w14:schemeClr w14:val="tx1"/>
            </w14:solidFill>
          </w14:textFill>
        </w:rPr>
        <w:t>类生产性实训基地基础上，进一步完善实训基地功能，建设国内领先的集教学科研培训鉴定服务于一体的高水平产教融合实训基地。未来</w:t>
      </w:r>
      <w:r>
        <w:rPr>
          <w:rFonts w:hint="eastAsia"/>
          <w:color w:val="000000" w:themeColor="text1"/>
          <w:spacing w:val="-8"/>
          <w14:textFill>
            <w14:solidFill>
              <w14:schemeClr w14:val="tx1"/>
            </w14:solidFill>
          </w14:textFill>
        </w:rPr>
        <w:t>五</w:t>
      </w:r>
      <w:r>
        <w:rPr>
          <w:color w:val="000000" w:themeColor="text1"/>
          <w:spacing w:val="-8"/>
          <w14:textFill>
            <w14:solidFill>
              <w14:schemeClr w14:val="tx1"/>
            </w14:solidFill>
          </w14:textFill>
        </w:rPr>
        <w:t>年，积极承办</w:t>
      </w:r>
      <w:r>
        <w:rPr>
          <w:rFonts w:hint="eastAsia"/>
          <w:color w:val="000000" w:themeColor="text1"/>
          <w:spacing w:val="-8"/>
          <w14:textFill>
            <w14:solidFill>
              <w14:schemeClr w14:val="tx1"/>
            </w14:solidFill>
          </w14:textFill>
        </w:rPr>
        <w:t>江西</w:t>
      </w:r>
      <w:r>
        <w:rPr>
          <w:color w:val="000000" w:themeColor="text1"/>
          <w:spacing w:val="-8"/>
          <w14:textFill>
            <w14:solidFill>
              <w14:schemeClr w14:val="tx1"/>
            </w14:solidFill>
          </w14:textFill>
        </w:rPr>
        <w:t>省</w:t>
      </w:r>
      <w:r>
        <w:rPr>
          <w:rFonts w:hint="eastAsia"/>
          <w:color w:val="000000" w:themeColor="text1"/>
          <w:spacing w:val="-8"/>
          <w14:textFill>
            <w14:solidFill>
              <w14:schemeClr w14:val="tx1"/>
            </w14:solidFill>
          </w14:textFill>
        </w:rPr>
        <w:t>电子专项技能大赛和全国大学生电子</w:t>
      </w:r>
      <w:r>
        <w:rPr>
          <w:color w:val="000000" w:themeColor="text1"/>
          <w:spacing w:val="-8"/>
          <w14:textFill>
            <w14:solidFill>
              <w14:schemeClr w14:val="tx1"/>
            </w14:solidFill>
          </w14:textFill>
        </w:rPr>
        <w:t>技能大赛</w:t>
      </w:r>
      <w:r>
        <w:rPr>
          <w:rFonts w:hint="eastAsia"/>
          <w:color w:val="000000" w:themeColor="text1"/>
          <w:spacing w:val="-8"/>
          <w14:textFill>
            <w14:solidFill>
              <w14:schemeClr w14:val="tx1"/>
            </w14:solidFill>
          </w14:textFill>
        </w:rPr>
        <w:t>江西省赛区分赛场</w:t>
      </w:r>
      <w:r>
        <w:rPr>
          <w:color w:val="000000" w:themeColor="text1"/>
          <w:spacing w:val="-8"/>
          <w14:textFill>
            <w14:solidFill>
              <w14:schemeClr w14:val="tx1"/>
            </w14:solidFill>
          </w14:textFill>
        </w:rPr>
        <w:t>。</w:t>
      </w:r>
    </w:p>
    <w:p>
      <w:pPr>
        <w:pStyle w:val="5"/>
        <w:ind w:left="119" w:right="397" w:firstLine="440"/>
        <w:rPr>
          <w:color w:val="000000" w:themeColor="text1"/>
          <w14:textFill>
            <w14:solidFill>
              <w14:schemeClr w14:val="tx1"/>
            </w14:solidFill>
          </w14:textFill>
        </w:rPr>
      </w:pPr>
      <w:r>
        <w:rPr>
          <w:color w:val="000000" w:themeColor="text1"/>
          <w:spacing w:val="-10"/>
          <w14:textFill>
            <w14:solidFill>
              <w14:schemeClr w14:val="tx1"/>
            </w14:solidFill>
          </w14:textFill>
        </w:rPr>
        <w:t>未来</w:t>
      </w:r>
      <w:r>
        <w:rPr>
          <w:rFonts w:hint="eastAsia"/>
          <w:color w:val="000000" w:themeColor="text1"/>
          <w:spacing w:val="-10"/>
          <w14:textFill>
            <w14:solidFill>
              <w14:schemeClr w14:val="tx1"/>
            </w14:solidFill>
          </w14:textFill>
        </w:rPr>
        <w:t>五</w:t>
      </w:r>
      <w:r>
        <w:rPr>
          <w:color w:val="000000" w:themeColor="text1"/>
          <w:spacing w:val="-10"/>
          <w14:textFill>
            <w14:solidFill>
              <w14:schemeClr w14:val="tx1"/>
            </w14:solidFill>
          </w14:textFill>
        </w:rPr>
        <w:t>年，专任教师轮流下企业实践，经历丰富，参与企业技术</w:t>
      </w:r>
      <w:r>
        <w:rPr>
          <w:color w:val="000000" w:themeColor="text1"/>
          <w:spacing w:val="-11"/>
          <w14:textFill>
            <w14:solidFill>
              <w14:schemeClr w14:val="tx1"/>
            </w14:solidFill>
          </w14:textFill>
        </w:rPr>
        <w:t>革新，积极参加各类培训学习和会议，不断提升专业技能，了解行业</w:t>
      </w:r>
      <w:r>
        <w:rPr>
          <w:color w:val="000000" w:themeColor="text1"/>
          <w:spacing w:val="-13"/>
          <w14:textFill>
            <w14:solidFill>
              <w14:schemeClr w14:val="tx1"/>
            </w14:solidFill>
          </w14:textFill>
        </w:rPr>
        <w:t>发展趋势和前沿技术，力争教科研方面更进一步，教师争取在国家级</w:t>
      </w:r>
      <w:r>
        <w:rPr>
          <w:color w:val="000000" w:themeColor="text1"/>
          <w:spacing w:val="-3"/>
          <w14:textFill>
            <w14:solidFill>
              <w14:schemeClr w14:val="tx1"/>
            </w14:solidFill>
          </w14:textFill>
        </w:rPr>
        <w:t>教学能力比赛中获奖，学生在技能大赛中</w:t>
      </w:r>
      <w:r>
        <w:rPr>
          <w:rFonts w:hint="eastAsia"/>
          <w:color w:val="000000" w:themeColor="text1"/>
          <w:spacing w:val="-3"/>
          <w14:textFill>
            <w14:solidFill>
              <w14:schemeClr w14:val="tx1"/>
            </w14:solidFill>
          </w14:textFill>
        </w:rPr>
        <w:t>保持</w:t>
      </w:r>
      <w:r>
        <w:rPr>
          <w:color w:val="000000" w:themeColor="text1"/>
          <w:spacing w:val="-3"/>
          <w14:textFill>
            <w14:solidFill>
              <w14:schemeClr w14:val="tx1"/>
            </w14:solidFill>
          </w14:textFill>
        </w:rPr>
        <w:t>现有（</w:t>
      </w:r>
      <w:r>
        <w:rPr>
          <w:color w:val="000000" w:themeColor="text1"/>
          <w:spacing w:val="-2"/>
          <w14:textFill>
            <w14:solidFill>
              <w14:schemeClr w14:val="tx1"/>
            </w14:solidFill>
          </w14:textFill>
        </w:rPr>
        <w:t>国</w:t>
      </w:r>
      <w:r>
        <w:rPr>
          <w:rFonts w:hint="eastAsia"/>
          <w:color w:val="000000" w:themeColor="text1"/>
          <w:spacing w:val="-2"/>
          <w14:textFill>
            <w14:solidFill>
              <w14:schemeClr w14:val="tx1"/>
            </w14:solidFill>
          </w14:textFill>
        </w:rPr>
        <w:t>一一项，省赛三项</w:t>
      </w:r>
      <w:r>
        <w:rPr>
          <w:color w:val="000000" w:themeColor="text1"/>
          <w14:textFill>
            <w14:solidFill>
              <w14:schemeClr w14:val="tx1"/>
            </w14:solidFill>
          </w14:textFill>
        </w:rPr>
        <w:t>）成绩</w:t>
      </w:r>
      <w:r>
        <w:rPr>
          <w:rFonts w:hint="eastAsia"/>
          <w:color w:val="000000" w:themeColor="text1"/>
          <w14:textFill>
            <w14:solidFill>
              <w14:schemeClr w14:val="tx1"/>
            </w14:solidFill>
          </w14:textFill>
        </w:rPr>
        <w:t>外再次增加获奖团队数，争取获得优秀组织奖。</w:t>
      </w:r>
    </w:p>
    <w:p>
      <w:pPr>
        <w:pStyle w:val="2"/>
        <w:rPr>
          <w:color w:val="000000" w:themeColor="text1"/>
          <w14:textFill>
            <w14:solidFill>
              <w14:schemeClr w14:val="tx1"/>
            </w14:solidFill>
          </w14:textFill>
        </w:rPr>
      </w:pPr>
      <w:bookmarkStart w:id="24" w:name="_Toc95516183"/>
      <w:bookmarkStart w:id="25" w:name="_Hlk93621215"/>
      <w:r>
        <w:rPr>
          <w:rFonts w:hint="eastAsia"/>
          <w:snapToGrid w:val="0"/>
          <w:color w:val="000000" w:themeColor="text1"/>
          <w:lang w:bidi="ar"/>
          <w14:textFill>
            <w14:solidFill>
              <w14:schemeClr w14:val="tx1"/>
            </w14:solidFill>
          </w14:textFill>
        </w:rPr>
        <w:t>五</w:t>
      </w:r>
      <w:r>
        <w:rPr>
          <w:snapToGrid w:val="0"/>
          <w:color w:val="000000" w:themeColor="text1"/>
          <w:lang w:bidi="ar"/>
          <w14:textFill>
            <w14:solidFill>
              <w14:schemeClr w14:val="tx1"/>
            </w14:solidFill>
          </w14:textFill>
        </w:rPr>
        <w:t>、保障措施</w:t>
      </w:r>
      <w:bookmarkEnd w:id="24"/>
      <w:r>
        <w:rPr>
          <w:snapToGrid w:val="0"/>
          <w:color w:val="000000" w:themeColor="text1"/>
          <w:lang w:bidi="ar"/>
          <w14:textFill>
            <w14:solidFill>
              <w14:schemeClr w14:val="tx1"/>
            </w14:solidFill>
          </w14:textFill>
        </w:rPr>
        <w:t xml:space="preserve"> </w:t>
      </w:r>
    </w:p>
    <w:p>
      <w:pPr>
        <w:pStyle w:val="3"/>
        <w:rPr>
          <w:color w:val="000000" w:themeColor="text1"/>
          <w14:textFill>
            <w14:solidFill>
              <w14:schemeClr w14:val="tx1"/>
            </w14:solidFill>
          </w14:textFill>
        </w:rPr>
      </w:pPr>
      <w:bookmarkStart w:id="26" w:name="_Toc95516184"/>
      <w:r>
        <w:rPr>
          <w:rFonts w:hint="eastAsia"/>
          <w:color w:val="000000" w:themeColor="text1"/>
          <w14:textFill>
            <w14:solidFill>
              <w14:schemeClr w14:val="tx1"/>
            </w14:solidFill>
          </w14:textFill>
        </w:rPr>
        <w:t>（一）机制体制保障</w:t>
      </w:r>
      <w:bookmarkEnd w:id="26"/>
      <w:r>
        <w:rPr>
          <w:rFonts w:hint="eastAsia"/>
          <w:color w:val="000000" w:themeColor="text1"/>
          <w14:textFill>
            <w14:solidFill>
              <w14:schemeClr w14:val="tx1"/>
            </w14:solidFill>
          </w14:textFill>
        </w:rPr>
        <w:t xml:space="preserve"> </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1．建立“双主体”育人机制</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为了保障电子信息工程技术技术专业学生适应社会需求，推进人才培养模式改革，面对多轨制运行我们需要建设配套的“双主体”育人机制。学徒班应成立了校企协同共同参与的专业领导小组，小组成员包含校企双方管理人员和教学人员，具体负责项目的组织、实施、管理和质量保障，达成“资源共享、成本共担、互利共赢、协同发展”的目标。组织对电子信息工程技术技术专业建设内容和年度计划进行论证、审核和统筹。制定实施相关管理文件，定期会商和协调解决项目实施过程中的问题。</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2.建立专业教学管理制度</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要高度重视电子信息工程技术技术专业建设的配套教学管理制度建设，根据学院政策细化符合专业教学特点的教学管理细则，建立健全专业教学质量综合评价制度。完善督导、学生、教学部门三方测评教师教学工作的评价体系，完善教师教学业务水平评价奖励制度。</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3.建立电子信息工程技术技术专业建设诊改与调整机制</w:t>
      </w:r>
    </w:p>
    <w:p>
      <w:pPr>
        <w:pStyle w:val="5"/>
        <w:spacing w:before="40" w:line="364" w:lineRule="auto"/>
        <w:ind w:left="122" w:right="263" w:firstLine="444"/>
        <w:rPr>
          <w:color w:val="000000" w:themeColor="text1"/>
          <w14:textFill>
            <w14:solidFill>
              <w14:schemeClr w14:val="tx1"/>
            </w14:solidFill>
          </w14:textFill>
        </w:rPr>
      </w:pPr>
      <w:r>
        <w:rPr>
          <w:color w:val="000000" w:themeColor="text1"/>
          <w:spacing w:val="-9"/>
          <w14:textFill>
            <w14:solidFill>
              <w14:schemeClr w14:val="tx1"/>
            </w14:solidFill>
          </w14:textFill>
        </w:rPr>
        <w:t>建立</w:t>
      </w:r>
      <w:r>
        <w:rPr>
          <w:rFonts w:hint="eastAsia"/>
          <w:color w:val="000000" w:themeColor="text1"/>
          <w:spacing w:val="-9"/>
          <w14:textFill>
            <w14:solidFill>
              <w14:schemeClr w14:val="tx1"/>
            </w14:solidFill>
          </w14:textFill>
        </w:rPr>
        <w:t>电子信息工程技术技术专业</w:t>
      </w:r>
      <w:r>
        <w:rPr>
          <w:color w:val="000000" w:themeColor="text1"/>
          <w:spacing w:val="-9"/>
          <w14:textFill>
            <w14:solidFill>
              <w14:schemeClr w14:val="tx1"/>
            </w14:solidFill>
          </w14:textFill>
        </w:rPr>
        <w:t>建设诊改与调整机制，主动邀请电商行业职业</w:t>
      </w:r>
      <w:r>
        <w:rPr>
          <w:color w:val="000000" w:themeColor="text1"/>
          <w:spacing w:val="-11"/>
          <w14:textFill>
            <w14:solidFill>
              <w14:schemeClr w14:val="tx1"/>
            </w14:solidFill>
          </w14:textFill>
        </w:rPr>
        <w:t>教育教学指导委员会以行业企业用人标准为依据，设计诊断项目，对</w:t>
      </w:r>
      <w:r>
        <w:rPr>
          <w:color w:val="000000" w:themeColor="text1"/>
          <w:spacing w:val="-8"/>
          <w14:textFill>
            <w14:solidFill>
              <w14:schemeClr w14:val="tx1"/>
            </w14:solidFill>
          </w14:textFill>
        </w:rPr>
        <w:t>照专业定位、人才培养目标，人才培养模式、教学改革与资源建设、</w:t>
      </w:r>
      <w:r>
        <w:rPr>
          <w:color w:val="000000" w:themeColor="text1"/>
          <w:spacing w:val="-11"/>
          <w14:textFill>
            <w14:solidFill>
              <w14:schemeClr w14:val="tx1"/>
            </w14:solidFill>
          </w14:textFill>
        </w:rPr>
        <w:t>教师队伍建设、实践教学、社会服务能力、质量监控与建设成效等专</w:t>
      </w:r>
      <w:r>
        <w:rPr>
          <w:color w:val="000000" w:themeColor="text1"/>
          <w:spacing w:val="-13"/>
          <w14:textFill>
            <w14:solidFill>
              <w14:schemeClr w14:val="tx1"/>
            </w14:solidFill>
          </w14:textFill>
        </w:rPr>
        <w:t>业建设诸要素，进行诊断，查找不足与完善提高。通过建立常态化周</w:t>
      </w:r>
      <w:r>
        <w:rPr>
          <w:color w:val="000000" w:themeColor="text1"/>
          <w:spacing w:val="-15"/>
          <w14:textFill>
            <w14:solidFill>
              <w14:schemeClr w14:val="tx1"/>
            </w14:solidFill>
          </w14:textFill>
        </w:rPr>
        <w:t>期性的专业建设诊断与改进制度，开展多层面多维度的诊断与改进工</w:t>
      </w:r>
      <w:r>
        <w:rPr>
          <w:color w:val="000000" w:themeColor="text1"/>
          <w:spacing w:val="-9"/>
          <w14:textFill>
            <w14:solidFill>
              <w14:schemeClr w14:val="tx1"/>
            </w14:solidFill>
          </w14:textFill>
        </w:rPr>
        <w:t xml:space="preserve">作，反映专业机构和社会组织对职业院校专业教学质量的认可程度， </w:t>
      </w:r>
      <w:r>
        <w:rPr>
          <w:color w:val="000000" w:themeColor="text1"/>
          <w:spacing w:val="-3"/>
          <w14:textFill>
            <w14:solidFill>
              <w14:schemeClr w14:val="tx1"/>
            </w14:solidFill>
          </w14:textFill>
        </w:rPr>
        <w:t>以评促改，倒逼专业改革与建设。</w:t>
      </w:r>
    </w:p>
    <w:p>
      <w:pPr>
        <w:pStyle w:val="3"/>
        <w:spacing w:before="163" w:beforeLines="50" w:after="163" w:afterLines="50"/>
        <w:ind w:left="119"/>
        <w:rPr>
          <w:color w:val="000000" w:themeColor="text1"/>
          <w14:textFill>
            <w14:solidFill>
              <w14:schemeClr w14:val="tx1"/>
            </w14:solidFill>
          </w14:textFill>
        </w:rPr>
      </w:pPr>
      <w:bookmarkStart w:id="27" w:name="_Toc95516185"/>
      <w:bookmarkStart w:id="28" w:name="_Toc23386"/>
      <w:r>
        <w:rPr>
          <w:rFonts w:hint="eastAsia"/>
          <w:color w:val="000000" w:themeColor="text1"/>
          <w14:textFill>
            <w14:solidFill>
              <w14:schemeClr w14:val="tx1"/>
            </w14:solidFill>
          </w14:textFill>
        </w:rPr>
        <w:t>（二）组织保障</w:t>
      </w:r>
      <w:bookmarkEnd w:id="27"/>
      <w:bookmarkEnd w:id="28"/>
    </w:p>
    <w:p>
      <w:pPr>
        <w:pStyle w:val="5"/>
        <w:spacing w:before="40" w:line="364" w:lineRule="auto"/>
        <w:ind w:left="122" w:right="263" w:firstLine="444"/>
        <w:rPr>
          <w:color w:val="000000" w:themeColor="text1"/>
          <w:spacing w:val="-9"/>
          <w14:textFill>
            <w14:solidFill>
              <w14:schemeClr w14:val="tx1"/>
            </w14:solidFill>
          </w14:textFill>
        </w:rPr>
      </w:pPr>
      <w:r>
        <w:rPr>
          <w:color w:val="000000" w:themeColor="text1"/>
          <w:spacing w:val="-9"/>
          <w14:textFill>
            <w14:solidFill>
              <w14:schemeClr w14:val="tx1"/>
            </w14:solidFill>
          </w14:textFill>
        </w:rPr>
        <w:t>高度重视，切实加强对</w:t>
      </w:r>
      <w:r>
        <w:rPr>
          <w:rFonts w:hint="eastAsia"/>
          <w:color w:val="000000" w:themeColor="text1"/>
          <w:spacing w:val="-9"/>
          <w14:textFill>
            <w14:solidFill>
              <w14:schemeClr w14:val="tx1"/>
            </w14:solidFill>
          </w14:textFill>
        </w:rPr>
        <w:t>电子信息工程技术技术专业</w:t>
      </w:r>
      <w:r>
        <w:rPr>
          <w:color w:val="000000" w:themeColor="text1"/>
          <w:spacing w:val="-9"/>
          <w14:textFill>
            <w14:solidFill>
              <w14:schemeClr w14:val="tx1"/>
            </w14:solidFill>
          </w14:textFill>
        </w:rPr>
        <w:t>建设的组织机构保障。成立以系主任为首，专业带头人牵头，有专业指导委员会专家、企业代表参加的专业建设领导小组，明确人员组成和基本职责。负责专业建设的整体规划，发挥好专业建设指导委员会的作用。组建专业教学标准建设、课程建设、工学结合顶岗实习管理等专题小组，建立以提高专业教学质量为导向的管理制度和工作机制，把教育资源配置和工作重点集中到</w:t>
      </w:r>
      <w:r>
        <w:rPr>
          <w:rFonts w:hint="eastAsia"/>
          <w:color w:val="000000" w:themeColor="text1"/>
          <w:spacing w:val="-9"/>
          <w14:textFill>
            <w14:solidFill>
              <w14:schemeClr w14:val="tx1"/>
            </w14:solidFill>
          </w14:textFill>
        </w:rPr>
        <w:t>电子信息工程技术技术专业</w:t>
      </w:r>
      <w:r>
        <w:rPr>
          <w:color w:val="000000" w:themeColor="text1"/>
          <w:spacing w:val="-9"/>
          <w14:textFill>
            <w14:solidFill>
              <w14:schemeClr w14:val="tx1"/>
            </w14:solidFill>
          </w14:textFill>
        </w:rPr>
        <w:t>教学工作和人才培养上来。</w:t>
      </w:r>
    </w:p>
    <w:p>
      <w:pPr>
        <w:pStyle w:val="3"/>
        <w:spacing w:before="163" w:beforeLines="50" w:after="163" w:afterLines="50"/>
        <w:ind w:left="119"/>
        <w:rPr>
          <w:color w:val="000000" w:themeColor="text1"/>
          <w14:textFill>
            <w14:solidFill>
              <w14:schemeClr w14:val="tx1"/>
            </w14:solidFill>
          </w14:textFill>
        </w:rPr>
      </w:pPr>
      <w:bookmarkStart w:id="29" w:name="_Toc14777"/>
      <w:bookmarkStart w:id="30" w:name="_Toc95516186"/>
      <w:r>
        <w:rPr>
          <w:rFonts w:hint="eastAsia"/>
          <w:color w:val="000000" w:themeColor="text1"/>
          <w14:textFill>
            <w14:solidFill>
              <w14:schemeClr w14:val="tx1"/>
            </w14:solidFill>
          </w14:textFill>
        </w:rPr>
        <w:t>（三）经费保障</w:t>
      </w:r>
      <w:bookmarkEnd w:id="29"/>
      <w:bookmarkEnd w:id="30"/>
    </w:p>
    <w:p>
      <w:pPr>
        <w:pStyle w:val="5"/>
        <w:spacing w:before="40" w:line="364" w:lineRule="auto"/>
        <w:ind w:left="122" w:right="263" w:firstLine="444"/>
        <w:rPr>
          <w:color w:val="000000" w:themeColor="text1"/>
          <w:spacing w:val="-9"/>
          <w14:textFill>
            <w14:solidFill>
              <w14:schemeClr w14:val="tx1"/>
            </w14:solidFill>
          </w14:textFill>
        </w:rPr>
      </w:pPr>
      <w:r>
        <w:rPr>
          <w:color w:val="000000" w:themeColor="text1"/>
          <w:spacing w:val="-9"/>
          <w14:textFill>
            <w14:solidFill>
              <w14:schemeClr w14:val="tx1"/>
            </w14:solidFill>
          </w14:textFill>
        </w:rPr>
        <w:t>2021-2025 年，每年投入 50-70 万元左右用于</w:t>
      </w:r>
      <w:r>
        <w:rPr>
          <w:rFonts w:hint="eastAsia"/>
          <w:color w:val="000000" w:themeColor="text1"/>
          <w:spacing w:val="-9"/>
          <w14:textFill>
            <w14:solidFill>
              <w14:schemeClr w14:val="tx1"/>
            </w14:solidFill>
          </w14:textFill>
        </w:rPr>
        <w:t>电子信息工程技术技术专业</w:t>
      </w:r>
      <w:r>
        <w:rPr>
          <w:color w:val="000000" w:themeColor="text1"/>
          <w:spacing w:val="-9"/>
          <w14:textFill>
            <w14:solidFill>
              <w14:schemeClr w14:val="tx1"/>
            </w14:solidFill>
          </w14:textFill>
        </w:rPr>
        <w:t>建设。重点用于实训条件建设、专业教学标准开发、人才培养方案编制、课程建设、教学团队建设、教材资源库建设、教学改革等专项投入。本着“按需定支，量入为出，保证重点，兼顾一般”的原则，使</w:t>
      </w:r>
      <w:r>
        <w:rPr>
          <w:color w:val="000000" w:themeColor="text1"/>
          <w:spacing w:val="-10"/>
          <w14:textFill>
            <w14:solidFill>
              <w14:schemeClr w14:val="tx1"/>
            </w14:solidFill>
          </w14:textFill>
        </w:rPr>
        <w:t>预算更加切合实际，利于操作，确保建设项目资金合理安排。严格执</w:t>
      </w:r>
      <w:r>
        <w:rPr>
          <w:color w:val="000000" w:themeColor="text1"/>
          <w:spacing w:val="-9"/>
          <w14:textFill>
            <w14:solidFill>
              <w14:schemeClr w14:val="tx1"/>
            </w14:solidFill>
          </w14:textFill>
        </w:rPr>
        <w:t>行经费预算，加强建设项目经费预算执行跟踪，指导各部门采取积极有效措施，按计划执行预算，保证资金规范、安全和高效使用。</w:t>
      </w:r>
    </w:p>
    <w:p>
      <w:pPr>
        <w:pStyle w:val="2"/>
        <w:spacing w:before="120" w:after="163" w:afterLines="50"/>
        <w:ind w:left="119"/>
        <w:rPr>
          <w:color w:val="000000" w:themeColor="text1"/>
          <w14:textFill>
            <w14:solidFill>
              <w14:schemeClr w14:val="tx1"/>
            </w14:solidFill>
          </w14:textFill>
        </w:rPr>
      </w:pPr>
      <w:bookmarkStart w:id="31" w:name="_Toc17143"/>
      <w:bookmarkStart w:id="32" w:name="_Toc95516187"/>
      <w:r>
        <w:rPr>
          <w:color w:val="000000" w:themeColor="text1"/>
          <w14:textFill>
            <w14:solidFill>
              <w14:schemeClr w14:val="tx1"/>
            </w14:solidFill>
          </w14:textFill>
        </w:rPr>
        <w:t>六、分年度建设计划</w:t>
      </w:r>
      <w:bookmarkEnd w:id="31"/>
      <w:bookmarkEnd w:id="32"/>
    </w:p>
    <w:p>
      <w:pPr>
        <w:pStyle w:val="5"/>
        <w:spacing w:before="40" w:line="364" w:lineRule="auto"/>
        <w:ind w:left="122" w:right="263" w:firstLine="444"/>
        <w:rPr>
          <w:color w:val="000000" w:themeColor="text1"/>
          <w:spacing w:val="-9"/>
          <w14:textFill>
            <w14:solidFill>
              <w14:schemeClr w14:val="tx1"/>
            </w14:solidFill>
          </w14:textFill>
        </w:rPr>
      </w:pPr>
      <w:r>
        <w:rPr>
          <w:rFonts w:hint="eastAsia"/>
          <w:color w:val="000000" w:themeColor="text1"/>
          <w:spacing w:val="-9"/>
          <w14:textFill>
            <w14:solidFill>
              <w14:schemeClr w14:val="tx1"/>
            </w14:solidFill>
          </w14:textFill>
        </w:rPr>
        <w:t>电子信息工程技术技术专业</w:t>
      </w:r>
      <w:r>
        <w:rPr>
          <w:color w:val="000000" w:themeColor="text1"/>
          <w:spacing w:val="-9"/>
          <w14:textFill>
            <w14:solidFill>
              <w14:schemeClr w14:val="tx1"/>
            </w14:solidFill>
          </w14:textFill>
        </w:rPr>
        <w:t>分年度建设计划主要包含：</w:t>
      </w:r>
      <w:r>
        <w:rPr>
          <w:rFonts w:hint="eastAsia"/>
          <w:color w:val="000000" w:themeColor="text1"/>
          <w:spacing w:val="-9"/>
          <w14:textFill>
            <w14:solidFill>
              <w14:schemeClr w14:val="tx1"/>
            </w14:solidFill>
          </w14:textFill>
        </w:rPr>
        <w:t>招生就业</w:t>
      </w:r>
      <w:r>
        <w:rPr>
          <w:color w:val="000000" w:themeColor="text1"/>
          <w:spacing w:val="-9"/>
          <w14:textFill>
            <w14:solidFill>
              <w14:schemeClr w14:val="tx1"/>
            </w14:solidFill>
          </w14:textFill>
        </w:rPr>
        <w:t>、</w:t>
      </w:r>
      <w:r>
        <w:rPr>
          <w:rFonts w:hint="eastAsia"/>
          <w:color w:val="000000" w:themeColor="text1"/>
          <w:spacing w:val="-9"/>
          <w14:textFill>
            <w14:solidFill>
              <w14:schemeClr w14:val="tx1"/>
            </w14:solidFill>
          </w14:textFill>
        </w:rPr>
        <w:t>专业</w:t>
      </w:r>
      <w:r>
        <w:rPr>
          <w:color w:val="000000" w:themeColor="text1"/>
          <w:spacing w:val="-9"/>
          <w14:textFill>
            <w14:solidFill>
              <w14:schemeClr w14:val="tx1"/>
            </w14:solidFill>
          </w14:textFill>
        </w:rPr>
        <w:t>建设、师资队伍、</w:t>
      </w:r>
      <w:r>
        <w:rPr>
          <w:rFonts w:hint="eastAsia"/>
          <w:color w:val="000000" w:themeColor="text1"/>
          <w:spacing w:val="-9"/>
          <w14:textFill>
            <w14:solidFill>
              <w14:schemeClr w14:val="tx1"/>
            </w14:solidFill>
          </w14:textFill>
        </w:rPr>
        <w:t>人才培养</w:t>
      </w:r>
      <w:r>
        <w:rPr>
          <w:color w:val="000000" w:themeColor="text1"/>
          <w:spacing w:val="-9"/>
          <w14:textFill>
            <w14:solidFill>
              <w14:schemeClr w14:val="tx1"/>
            </w14:solidFill>
          </w14:textFill>
        </w:rPr>
        <w:t>、</w:t>
      </w:r>
      <w:r>
        <w:rPr>
          <w:rFonts w:hint="eastAsia"/>
          <w:color w:val="000000" w:themeColor="text1"/>
          <w:spacing w:val="-9"/>
          <w14:textFill>
            <w14:solidFill>
              <w14:schemeClr w14:val="tx1"/>
            </w14:solidFill>
          </w14:textFill>
        </w:rPr>
        <w:t>教学资源</w:t>
      </w:r>
      <w:r>
        <w:rPr>
          <w:color w:val="000000" w:themeColor="text1"/>
          <w:spacing w:val="-9"/>
          <w14:textFill>
            <w14:solidFill>
              <w14:schemeClr w14:val="tx1"/>
            </w14:solidFill>
          </w14:textFill>
        </w:rPr>
        <w:t>建设等</w:t>
      </w:r>
      <w:r>
        <w:rPr>
          <w:rFonts w:hint="eastAsia"/>
          <w:color w:val="000000" w:themeColor="text1"/>
          <w:spacing w:val="-9"/>
          <w14:textFill>
            <w14:solidFill>
              <w14:schemeClr w14:val="tx1"/>
            </w14:solidFill>
          </w14:textFill>
        </w:rPr>
        <w:t>七</w:t>
      </w:r>
      <w:r>
        <w:rPr>
          <w:color w:val="000000" w:themeColor="text1"/>
          <w:spacing w:val="-9"/>
          <w14:textFill>
            <w14:solidFill>
              <w14:schemeClr w14:val="tx1"/>
            </w14:solidFill>
          </w14:textFill>
        </w:rPr>
        <w:t>个方面。</w:t>
      </w:r>
    </w:p>
    <w:bookmarkEnd w:id="25"/>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电子信息工程技术</w:t>
      </w:r>
      <w:r>
        <w:rPr>
          <w:color w:val="000000" w:themeColor="text1"/>
          <w14:textFill>
            <w14:solidFill>
              <w14:schemeClr w14:val="tx1"/>
            </w14:solidFill>
          </w14:textFill>
        </w:rPr>
        <w:t>专业建设方案实施期限为5 年，具体进度计划如表 1。</w:t>
      </w:r>
    </w:p>
    <w:p>
      <w:pPr>
        <w:spacing w:line="240" w:lineRule="auto"/>
        <w:ind w:firstLine="48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sectPr>
          <w:pgSz w:w="11906" w:h="16838"/>
          <w:pgMar w:top="1582" w:right="1400" w:bottom="278" w:left="1678" w:header="851" w:footer="379" w:gutter="0"/>
          <w:pgNumType w:start="1"/>
          <w:cols w:space="425" w:num="1"/>
          <w:docGrid w:type="lines" w:linePitch="326" w:charSpace="0"/>
        </w:sectPr>
      </w:pPr>
    </w:p>
    <w:p>
      <w:pPr>
        <w:spacing w:before="79" w:line="189" w:lineRule="auto"/>
        <w:ind w:firstLine="468"/>
        <w:jc w:val="center"/>
        <w:rPr>
          <w:rFonts w:ascii="仿宋" w:hAnsi="仿宋" w:eastAsia="仿宋" w:cs="仿宋"/>
          <w:color w:val="000000" w:themeColor="text1"/>
          <w:szCs w:val="24"/>
          <w14:textFill>
            <w14:solidFill>
              <w14:schemeClr w14:val="tx1"/>
            </w14:solidFill>
          </w14:textFill>
        </w:rPr>
      </w:pPr>
      <w:r>
        <w:rPr>
          <w:rFonts w:ascii="仿宋" w:hAnsi="仿宋" w:eastAsia="仿宋" w:cs="仿宋"/>
          <w:color w:val="000000" w:themeColor="text1"/>
          <w:spacing w:val="-3"/>
          <w:szCs w:val="24"/>
          <w14:textOutline w14:w="4356" w14:cap="sq" w14:cmpd="sng" w14:algn="ctr">
            <w14:solidFill>
              <w14:srgbClr w14:val="000000"/>
            </w14:solidFill>
            <w14:prstDash w14:val="solid"/>
            <w14:bevel/>
          </w14:textOutline>
          <w14:textFill>
            <w14:solidFill>
              <w14:schemeClr w14:val="tx1"/>
            </w14:solidFill>
          </w14:textFill>
        </w:rPr>
        <w:t>表</w:t>
      </w:r>
      <w:r>
        <w:rPr>
          <w:rFonts w:ascii="仿宋" w:hAnsi="仿宋" w:eastAsia="仿宋" w:cs="仿宋"/>
          <w:color w:val="000000" w:themeColor="text1"/>
          <w:spacing w:val="-32"/>
          <w:szCs w:val="24"/>
          <w14:textFill>
            <w14:solidFill>
              <w14:schemeClr w14:val="tx1"/>
            </w14:solidFill>
          </w14:textFill>
        </w:rPr>
        <w:t xml:space="preserve"> </w:t>
      </w:r>
      <w:r>
        <w:rPr>
          <w:rFonts w:ascii="仿宋" w:hAnsi="仿宋" w:eastAsia="仿宋" w:cs="仿宋"/>
          <w:color w:val="000000" w:themeColor="text1"/>
          <w:spacing w:val="-3"/>
          <w:szCs w:val="24"/>
          <w14:textOutline w14:w="4356" w14:cap="sq" w14:cmpd="sng" w14:algn="ctr">
            <w14:solidFill>
              <w14:srgbClr w14:val="000000"/>
            </w14:solidFill>
            <w14:prstDash w14:val="solid"/>
            <w14:bevel/>
          </w14:textOutline>
          <w14:textFill>
            <w14:solidFill>
              <w14:schemeClr w14:val="tx1"/>
            </w14:solidFill>
          </w14:textFill>
        </w:rPr>
        <w:t>1</w:t>
      </w:r>
      <w:r>
        <w:rPr>
          <w:rFonts w:ascii="仿宋" w:hAnsi="仿宋" w:eastAsia="仿宋" w:cs="仿宋"/>
          <w:color w:val="000000" w:themeColor="text1"/>
          <w:spacing w:val="24"/>
          <w:szCs w:val="24"/>
          <w14:textFill>
            <w14:solidFill>
              <w14:schemeClr w14:val="tx1"/>
            </w14:solidFill>
          </w14:textFill>
        </w:rPr>
        <w:t xml:space="preserve"> </w:t>
      </w:r>
      <w:r>
        <w:rPr>
          <w:rFonts w:hint="eastAsia" w:ascii="仿宋" w:hAnsi="仿宋" w:eastAsia="仿宋" w:cs="仿宋"/>
          <w:color w:val="000000" w:themeColor="text1"/>
          <w:spacing w:val="-3"/>
          <w:szCs w:val="24"/>
          <w14:textOutline w14:w="4356" w14:cap="sq" w14:cmpd="sng" w14:algn="ctr">
            <w14:solidFill>
              <w14:srgbClr w14:val="000000"/>
            </w14:solidFill>
            <w14:prstDash w14:val="solid"/>
            <w14:bevel/>
          </w14:textOutline>
          <w14:textFill>
            <w14:solidFill>
              <w14:schemeClr w14:val="tx1"/>
            </w14:solidFill>
          </w14:textFill>
        </w:rPr>
        <w:t>电子信息工程技术</w:t>
      </w:r>
      <w:r>
        <w:rPr>
          <w:rFonts w:ascii="仿宋" w:hAnsi="仿宋" w:eastAsia="仿宋" w:cs="仿宋"/>
          <w:color w:val="000000" w:themeColor="text1"/>
          <w:spacing w:val="-3"/>
          <w:szCs w:val="24"/>
          <w14:textOutline w14:w="4356" w14:cap="sq" w14:cmpd="sng" w14:algn="ctr">
            <w14:solidFill>
              <w14:srgbClr w14:val="000000"/>
            </w14:solidFill>
            <w14:prstDash w14:val="solid"/>
            <w14:bevel/>
          </w14:textOutline>
          <w14:textFill>
            <w14:solidFill>
              <w14:schemeClr w14:val="tx1"/>
            </w14:solidFill>
          </w14:textFill>
        </w:rPr>
        <w:t>专业分年度建设计划表</w:t>
      </w:r>
    </w:p>
    <w:tbl>
      <w:tblPr>
        <w:tblStyle w:val="21"/>
        <w:tblW w:w="149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2409"/>
        <w:gridCol w:w="2977"/>
        <w:gridCol w:w="2835"/>
        <w:gridCol w:w="2890"/>
        <w:gridCol w:w="2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968" w:type="dxa"/>
            <w:tcBorders>
              <w:top w:val="single" w:color="000000" w:sz="10" w:space="0"/>
              <w:left w:val="single" w:color="000000" w:sz="10" w:space="0"/>
              <w:tl2br w:val="single" w:color="auto" w:sz="4" w:space="0"/>
            </w:tcBorders>
          </w:tcPr>
          <w:p>
            <w:pPr>
              <w:spacing w:line="240" w:lineRule="auto"/>
              <w:ind w:firstLine="409" w:firstLineChars="195"/>
              <w:textAlignment w:val="center"/>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年 度</w:t>
            </w:r>
          </w:p>
          <w:p>
            <w:pPr>
              <w:spacing w:line="240" w:lineRule="auto"/>
              <w:ind w:firstLine="0" w:firstLineChars="0"/>
              <w:textAlignment w:val="center"/>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任 务</w:t>
            </w:r>
          </w:p>
        </w:tc>
        <w:tc>
          <w:tcPr>
            <w:tcW w:w="2409" w:type="dxa"/>
            <w:tcBorders>
              <w:top w:val="single" w:color="000000" w:sz="10" w:space="0"/>
            </w:tcBorders>
            <w:vAlign w:val="center"/>
          </w:tcPr>
          <w:p>
            <w:pPr>
              <w:spacing w:before="146" w:line="185" w:lineRule="auto"/>
              <w:ind w:firstLine="348"/>
              <w:jc w:val="center"/>
              <w:rPr>
                <w:rFonts w:ascii="Calibri" w:hAnsi="Calibri" w:cs="Calibri" w:eastAsiaTheme="minorEastAsia"/>
                <w:color w:val="000000" w:themeColor="text1"/>
                <w:spacing w:val="-3"/>
                <w:kern w:val="0"/>
                <w:sz w:val="18"/>
                <w:szCs w:val="18"/>
                <w14:textFill>
                  <w14:solidFill>
                    <w14:schemeClr w14:val="tx1"/>
                  </w14:solidFill>
                </w14:textFill>
              </w:rPr>
            </w:pPr>
            <w:r>
              <w:rPr>
                <w:rFonts w:hint="eastAsia" w:ascii="Calibri" w:hAnsi="Calibri" w:cs="Calibri" w:eastAsiaTheme="minorEastAsia"/>
                <w:color w:val="000000" w:themeColor="text1"/>
                <w:spacing w:val="-3"/>
                <w:kern w:val="0"/>
                <w:sz w:val="18"/>
                <w:szCs w:val="18"/>
                <w14:textFill>
                  <w14:solidFill>
                    <w14:schemeClr w14:val="tx1"/>
                  </w14:solidFill>
                </w14:textFill>
              </w:rPr>
              <w:t>2</w:t>
            </w:r>
            <w:r>
              <w:rPr>
                <w:rFonts w:ascii="Calibri" w:hAnsi="Calibri" w:cs="Calibri" w:eastAsiaTheme="minorEastAsia"/>
                <w:color w:val="000000" w:themeColor="text1"/>
                <w:spacing w:val="-3"/>
                <w:kern w:val="0"/>
                <w:sz w:val="18"/>
                <w:szCs w:val="18"/>
                <w14:textFill>
                  <w14:solidFill>
                    <w14:schemeClr w14:val="tx1"/>
                  </w14:solidFill>
                </w14:textFill>
              </w:rPr>
              <w:t>021</w:t>
            </w:r>
            <w:r>
              <w:rPr>
                <w:rFonts w:hint="eastAsia" w:ascii="Calibri" w:hAnsi="Calibri" w:cs="Calibri" w:eastAsiaTheme="minorEastAsia"/>
                <w:color w:val="000000" w:themeColor="text1"/>
                <w:spacing w:val="-3"/>
                <w:kern w:val="0"/>
                <w:sz w:val="18"/>
                <w:szCs w:val="18"/>
                <w14:textFill>
                  <w14:solidFill>
                    <w14:schemeClr w14:val="tx1"/>
                  </w14:solidFill>
                </w14:textFill>
              </w:rPr>
              <w:t>年</w:t>
            </w:r>
          </w:p>
        </w:tc>
        <w:tc>
          <w:tcPr>
            <w:tcW w:w="2977" w:type="dxa"/>
            <w:tcBorders>
              <w:top w:val="single" w:color="000000" w:sz="10" w:space="0"/>
            </w:tcBorders>
            <w:vAlign w:val="center"/>
          </w:tcPr>
          <w:p>
            <w:pPr>
              <w:spacing w:before="146" w:line="185" w:lineRule="auto"/>
              <w:ind w:firstLine="348"/>
              <w:jc w:val="center"/>
              <w:rPr>
                <w:rFonts w:ascii="宋体" w:hAnsi="宋体" w:cs="宋体"/>
                <w:color w:val="000000" w:themeColor="text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20</w:t>
            </w:r>
            <w:r>
              <w:rPr>
                <w:rFonts w:hint="eastAsia" w:ascii="Calibri" w:hAnsi="Calibri" w:cs="Calibri"/>
                <w:color w:val="000000" w:themeColor="text1"/>
                <w:spacing w:val="-3"/>
                <w:kern w:val="0"/>
                <w:sz w:val="18"/>
                <w:szCs w:val="18"/>
                <w14:textFill>
                  <w14:solidFill>
                    <w14:schemeClr w14:val="tx1"/>
                  </w14:solidFill>
                </w14:textFill>
              </w:rPr>
              <w:t>22</w:t>
            </w:r>
            <w:r>
              <w:rPr>
                <w:rFonts w:ascii="Calibri" w:hAnsi="Calibri" w:eastAsia="Calibri" w:cs="Calibri"/>
                <w:color w:val="000000" w:themeColor="text1"/>
                <w:spacing w:val="15"/>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年</w:t>
            </w:r>
          </w:p>
        </w:tc>
        <w:tc>
          <w:tcPr>
            <w:tcW w:w="2835" w:type="dxa"/>
            <w:tcBorders>
              <w:top w:val="single" w:color="000000" w:sz="10" w:space="0"/>
            </w:tcBorders>
            <w:vAlign w:val="center"/>
          </w:tcPr>
          <w:p>
            <w:pPr>
              <w:spacing w:before="146" w:line="185" w:lineRule="auto"/>
              <w:ind w:firstLine="348"/>
              <w:jc w:val="center"/>
              <w:rPr>
                <w:rFonts w:ascii="宋体" w:hAnsi="宋体" w:cs="宋体"/>
                <w:color w:val="000000" w:themeColor="text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20</w:t>
            </w:r>
            <w:r>
              <w:rPr>
                <w:rFonts w:hint="eastAsia" w:ascii="Calibri" w:hAnsi="Calibri" w:cs="Calibri"/>
                <w:color w:val="000000" w:themeColor="text1"/>
                <w:spacing w:val="-3"/>
                <w:kern w:val="0"/>
                <w:sz w:val="18"/>
                <w:szCs w:val="18"/>
                <w14:textFill>
                  <w14:solidFill>
                    <w14:schemeClr w14:val="tx1"/>
                  </w14:solidFill>
                </w14:textFill>
              </w:rPr>
              <w:t>23</w:t>
            </w:r>
            <w:r>
              <w:rPr>
                <w:rFonts w:ascii="Calibri" w:hAnsi="Calibri" w:eastAsia="Calibri" w:cs="Calibri"/>
                <w:color w:val="000000" w:themeColor="text1"/>
                <w:spacing w:val="17"/>
                <w:w w:val="101"/>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年</w:t>
            </w:r>
          </w:p>
        </w:tc>
        <w:tc>
          <w:tcPr>
            <w:tcW w:w="2890" w:type="dxa"/>
            <w:tcBorders>
              <w:top w:val="single" w:color="000000" w:sz="10" w:space="0"/>
            </w:tcBorders>
            <w:vAlign w:val="center"/>
          </w:tcPr>
          <w:p>
            <w:pPr>
              <w:spacing w:before="146" w:line="185" w:lineRule="auto"/>
              <w:ind w:firstLine="348"/>
              <w:jc w:val="center"/>
              <w:rPr>
                <w:rFonts w:ascii="宋体" w:hAnsi="宋体" w:cs="宋体"/>
                <w:color w:val="000000" w:themeColor="text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20</w:t>
            </w:r>
            <w:r>
              <w:rPr>
                <w:rFonts w:hint="eastAsia" w:ascii="Calibri" w:hAnsi="Calibri" w:cs="Calibri"/>
                <w:color w:val="000000" w:themeColor="text1"/>
                <w:spacing w:val="-3"/>
                <w:kern w:val="0"/>
                <w:sz w:val="18"/>
                <w:szCs w:val="18"/>
                <w14:textFill>
                  <w14:solidFill>
                    <w14:schemeClr w14:val="tx1"/>
                  </w14:solidFill>
                </w14:textFill>
              </w:rPr>
              <w:t>24</w:t>
            </w:r>
            <w:r>
              <w:rPr>
                <w:rFonts w:ascii="Calibri" w:hAnsi="Calibri" w:eastAsia="Calibri" w:cs="Calibri"/>
                <w:color w:val="000000" w:themeColor="text1"/>
                <w:spacing w:val="17"/>
                <w:w w:val="101"/>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年</w:t>
            </w:r>
          </w:p>
        </w:tc>
        <w:tc>
          <w:tcPr>
            <w:tcW w:w="2835" w:type="dxa"/>
            <w:tcBorders>
              <w:top w:val="single" w:color="000000" w:sz="10" w:space="0"/>
              <w:right w:val="single" w:color="000000" w:sz="10" w:space="0"/>
            </w:tcBorders>
            <w:vAlign w:val="center"/>
          </w:tcPr>
          <w:p>
            <w:pPr>
              <w:spacing w:before="146" w:line="185" w:lineRule="auto"/>
              <w:ind w:firstLine="348"/>
              <w:jc w:val="center"/>
              <w:rPr>
                <w:rFonts w:ascii="宋体" w:hAnsi="宋体" w:cs="宋体"/>
                <w:color w:val="000000" w:themeColor="text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20</w:t>
            </w:r>
            <w:r>
              <w:rPr>
                <w:rFonts w:hint="eastAsia" w:ascii="Calibri" w:hAnsi="Calibri" w:cs="Calibri"/>
                <w:color w:val="000000" w:themeColor="text1"/>
                <w:spacing w:val="-3"/>
                <w:kern w:val="0"/>
                <w:sz w:val="18"/>
                <w:szCs w:val="18"/>
                <w14:textFill>
                  <w14:solidFill>
                    <w14:schemeClr w14:val="tx1"/>
                  </w14:solidFill>
                </w14:textFill>
              </w:rPr>
              <w:t>25</w:t>
            </w:r>
            <w:r>
              <w:rPr>
                <w:rFonts w:ascii="Calibri" w:hAnsi="Calibri" w:eastAsia="Calibri" w:cs="Calibri"/>
                <w:color w:val="000000" w:themeColor="text1"/>
                <w:spacing w:val="17"/>
                <w:w w:val="101"/>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99"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bookmarkStart w:id="33" w:name="_Hlk93616141"/>
            <w:r>
              <w:rPr>
                <w:rFonts w:ascii="宋体" w:hAnsi="宋体" w:cs="Calibri"/>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招生</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就业</w:t>
            </w:r>
          </w:p>
        </w:tc>
        <w:tc>
          <w:tcPr>
            <w:tcW w:w="2409"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1.单招</w:t>
            </w:r>
            <w:r>
              <w:rPr>
                <w:rFonts w:hint="eastAsia" w:ascii="宋体" w:hAnsi="宋体" w:cs="宋体"/>
                <w:color w:val="000000" w:themeColor="text1"/>
                <w:spacing w:val="-1"/>
                <w:kern w:val="0"/>
                <w:sz w:val="18"/>
                <w:szCs w:val="18"/>
                <w14:textFill>
                  <w14:solidFill>
                    <w14:schemeClr w14:val="tx1"/>
                  </w14:solidFill>
                </w14:textFill>
              </w:rPr>
              <w:t>招</w:t>
            </w:r>
            <w:r>
              <w:rPr>
                <w:rFonts w:ascii="宋体" w:hAnsi="宋体" w:cs="宋体"/>
                <w:color w:val="000000" w:themeColor="text1"/>
                <w:spacing w:val="-1"/>
                <w:kern w:val="0"/>
                <w:sz w:val="18"/>
                <w:szCs w:val="18"/>
                <w14:textFill>
                  <w14:solidFill>
                    <w14:schemeClr w14:val="tx1"/>
                  </w14:solidFill>
                </w14:textFill>
              </w:rPr>
              <w:t>生比例不低于30%，招生计划完成率达到 80%。         2.就业率不低于 80%，就业专业对口率不低于</w:t>
            </w:r>
            <w:r>
              <w:rPr>
                <w:rFonts w:hint="eastAsia" w:ascii="宋体" w:hAnsi="宋体" w:cs="宋体"/>
                <w:color w:val="000000" w:themeColor="text1"/>
                <w:spacing w:val="-1"/>
                <w:kern w:val="0"/>
                <w:sz w:val="18"/>
                <w:szCs w:val="18"/>
                <w14:textFill>
                  <w14:solidFill>
                    <w14:schemeClr w14:val="tx1"/>
                  </w14:solidFill>
                </w14:textFill>
              </w:rPr>
              <w:t>75</w:t>
            </w:r>
            <w:r>
              <w:rPr>
                <w:rFonts w:ascii="宋体" w:hAnsi="宋体" w:cs="宋体"/>
                <w:color w:val="000000" w:themeColor="text1"/>
                <w:spacing w:val="-1"/>
                <w:kern w:val="0"/>
                <w:sz w:val="18"/>
                <w:szCs w:val="18"/>
                <w14:textFill>
                  <w14:solidFill>
                    <w14:schemeClr w14:val="tx1"/>
                  </w14:solidFill>
                </w14:textFill>
              </w:rPr>
              <w:t xml:space="preserve">% ，就业服务工作 满意度不低于80% ，用人单位对毕业生的满意度不低于 90%。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3.校企合作单位不少于1家</w:t>
            </w:r>
            <w:r>
              <w:rPr>
                <w:rFonts w:hint="eastAsia" w:ascii="宋体" w:hAnsi="宋体" w:cs="宋体"/>
                <w:color w:val="000000" w:themeColor="text1"/>
                <w:spacing w:val="-1"/>
                <w:kern w:val="0"/>
                <w:sz w:val="18"/>
                <w:szCs w:val="18"/>
                <w14:textFill>
                  <w14:solidFill>
                    <w14:schemeClr w14:val="tx1"/>
                  </w14:solidFill>
                </w14:textFill>
              </w:rPr>
              <w:t>。</w:t>
            </w:r>
          </w:p>
        </w:tc>
        <w:tc>
          <w:tcPr>
            <w:tcW w:w="2977"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1.单招</w:t>
            </w:r>
            <w:r>
              <w:rPr>
                <w:rFonts w:hint="eastAsia" w:ascii="宋体" w:hAnsi="宋体" w:cs="宋体"/>
                <w:color w:val="000000" w:themeColor="text1"/>
                <w:spacing w:val="-1"/>
                <w:kern w:val="0"/>
                <w:sz w:val="18"/>
                <w:szCs w:val="18"/>
                <w14:textFill>
                  <w14:solidFill>
                    <w14:schemeClr w14:val="tx1"/>
                  </w14:solidFill>
                </w14:textFill>
              </w:rPr>
              <w:t>招</w:t>
            </w:r>
            <w:r>
              <w:rPr>
                <w:rFonts w:ascii="宋体" w:hAnsi="宋体" w:cs="宋体"/>
                <w:color w:val="000000" w:themeColor="text1"/>
                <w:spacing w:val="-1"/>
                <w:kern w:val="0"/>
                <w:sz w:val="18"/>
                <w:szCs w:val="18"/>
                <w14:textFill>
                  <w14:solidFill>
                    <w14:schemeClr w14:val="tx1"/>
                  </w14:solidFill>
                </w14:textFill>
              </w:rPr>
              <w:t xml:space="preserve">生比例不低于 32%，招生计划完成率达到 85%。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2.就业率不低于 90%，就业专业对口率不低于80% ，就业服务工作满意度不低于90% ，用人单位对 毕业生的满意度不低于 90%。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 校企合作企事业单位不少于2家</w:t>
            </w:r>
            <w:r>
              <w:rPr>
                <w:rFonts w:hint="eastAsia" w:ascii="宋体" w:hAnsi="宋体" w:cs="宋体"/>
                <w:color w:val="000000" w:themeColor="text1"/>
                <w:spacing w:val="-1"/>
                <w:kern w:val="0"/>
                <w:sz w:val="18"/>
                <w:szCs w:val="18"/>
                <w14:textFill>
                  <w14:solidFill>
                    <w14:schemeClr w14:val="tx1"/>
                  </w14:solidFill>
                </w14:textFill>
              </w:rPr>
              <w:t>。</w:t>
            </w:r>
          </w:p>
        </w:tc>
        <w:tc>
          <w:tcPr>
            <w:tcW w:w="2835"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1.单招招生比例不低于 35%，招生计划完成率达到 90% 。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2.就业率不低于 93%，就业专业对口率不低于 </w:t>
            </w:r>
            <w:r>
              <w:rPr>
                <w:rFonts w:hint="eastAsia" w:ascii="宋体" w:hAnsi="宋体" w:cs="宋体"/>
                <w:color w:val="000000" w:themeColor="text1"/>
                <w:spacing w:val="-1"/>
                <w:kern w:val="0"/>
                <w:sz w:val="18"/>
                <w:szCs w:val="18"/>
                <w14:textFill>
                  <w14:solidFill>
                    <w14:schemeClr w14:val="tx1"/>
                  </w14:solidFill>
                </w14:textFill>
              </w:rPr>
              <w:t>78</w:t>
            </w:r>
            <w:r>
              <w:rPr>
                <w:rFonts w:ascii="宋体" w:hAnsi="宋体" w:cs="宋体"/>
                <w:color w:val="000000" w:themeColor="text1"/>
                <w:spacing w:val="-1"/>
                <w:kern w:val="0"/>
                <w:sz w:val="18"/>
                <w:szCs w:val="18"/>
                <w14:textFill>
                  <w14:solidFill>
                    <w14:schemeClr w14:val="tx1"/>
                  </w14:solidFill>
                </w14:textFill>
              </w:rPr>
              <w:t>%，就业服务工作满意度不低于 90%，用人单位对毕业生的满意度不低于 92%。</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3.校企合作企事业单位不少于3 家。</w:t>
            </w:r>
          </w:p>
        </w:tc>
        <w:tc>
          <w:tcPr>
            <w:tcW w:w="2890"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1.单招招生比例不低于 35%，招 生计划完成率达到 92% 。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2.就业率不低于 94%，就业专业对口率不低于 83% ，就业服务工作满意度不低于 92% ，用人 单位对毕业生的满意度不低于 92% 。                      3.校企合作企事业单位不少于3 家。</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1.单招招生比例不低于 35%，招生 计划完成率达到 95% 。          2.就业率不低于 95%，就业专业对 口率不低于 85%，就业服务工作满 意度不低于 93%，用人单位对毕业 生的满意度不低于 92% 。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3.校企合作单位不少于 3 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33"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2.专业</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建设</w:t>
            </w:r>
          </w:p>
        </w:tc>
        <w:tc>
          <w:tcPr>
            <w:tcW w:w="2409"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 </w:t>
            </w:r>
            <w:r>
              <w:rPr>
                <w:rFonts w:hint="eastAsia" w:ascii="宋体" w:hAnsi="宋体" w:cs="宋体"/>
                <w:color w:val="000000" w:themeColor="text1"/>
                <w:spacing w:val="-1"/>
                <w:kern w:val="0"/>
                <w:sz w:val="18"/>
                <w:szCs w:val="18"/>
                <w14:textFill>
                  <w14:solidFill>
                    <w14:schemeClr w14:val="tx1"/>
                  </w14:solidFill>
                </w14:textFill>
              </w:rPr>
              <w:t>每年</w:t>
            </w:r>
            <w:r>
              <w:rPr>
                <w:rFonts w:ascii="宋体" w:hAnsi="宋体" w:cs="宋体"/>
                <w:color w:val="000000" w:themeColor="text1"/>
                <w:spacing w:val="-1"/>
                <w:kern w:val="0"/>
                <w:sz w:val="18"/>
                <w:szCs w:val="18"/>
                <w14:textFill>
                  <w14:solidFill>
                    <w14:schemeClr w14:val="tx1"/>
                  </w14:solidFill>
                </w14:textFill>
              </w:rPr>
              <w:t>修订专业人才培养方案及课程标准。                       2.积极培育国家“十</w:t>
            </w:r>
            <w:r>
              <w:rPr>
                <w:rFonts w:hint="eastAsia" w:ascii="宋体" w:hAnsi="宋体" w:cs="宋体"/>
                <w:color w:val="000000" w:themeColor="text1"/>
                <w:spacing w:val="-1"/>
                <w:kern w:val="0"/>
                <w:sz w:val="18"/>
                <w:szCs w:val="18"/>
                <w14:textFill>
                  <w14:solidFill>
                    <w14:schemeClr w14:val="tx1"/>
                  </w14:solidFill>
                </w14:textFill>
              </w:rPr>
              <w:t>四</w:t>
            </w:r>
            <w:r>
              <w:rPr>
                <w:rFonts w:ascii="宋体" w:hAnsi="宋体" w:cs="宋体"/>
                <w:color w:val="000000" w:themeColor="text1"/>
                <w:spacing w:val="-1"/>
                <w:kern w:val="0"/>
                <w:sz w:val="18"/>
                <w:szCs w:val="18"/>
                <w14:textFill>
                  <w14:solidFill>
                    <w14:schemeClr w14:val="tx1"/>
                  </w14:solidFill>
                </w14:textFill>
              </w:rPr>
              <w:t>五”规划人才 100</w:t>
            </w:r>
            <w:r>
              <w:rPr>
                <w:rFonts w:hint="eastAsia" w:ascii="宋体" w:hAnsi="宋体" w:cs="宋体"/>
                <w:color w:val="000000" w:themeColor="text1"/>
                <w:spacing w:val="-1"/>
                <w:kern w:val="0"/>
                <w:sz w:val="18"/>
                <w:szCs w:val="18"/>
                <w14:textFill>
                  <w14:solidFill>
                    <w14:schemeClr w14:val="tx1"/>
                  </w14:solidFill>
                </w14:textFill>
              </w:rPr>
              <w:t>余</w:t>
            </w:r>
            <w:r>
              <w:rPr>
                <w:rFonts w:ascii="宋体" w:hAnsi="宋体" w:cs="宋体"/>
                <w:color w:val="000000" w:themeColor="text1"/>
                <w:spacing w:val="-1"/>
                <w:kern w:val="0"/>
                <w:sz w:val="18"/>
                <w:szCs w:val="18"/>
                <w14:textFill>
                  <w14:solidFill>
                    <w14:schemeClr w14:val="tx1"/>
                  </w14:solidFill>
                </w14:textFill>
              </w:rPr>
              <w:t>人。</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3.实训建设投入 100 万元以上。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4.完成1+X 证书</w:t>
            </w:r>
            <w:r>
              <w:rPr>
                <w:rFonts w:ascii="宋体" w:hAnsi="宋体" w:cs="宋体"/>
                <w:color w:val="000000" w:themeColor="text1"/>
                <w:spacing w:val="-1"/>
                <w:kern w:val="0"/>
                <w:sz w:val="18"/>
                <w:szCs w:val="18"/>
                <w14:textFill>
                  <w14:solidFill>
                    <w14:schemeClr w14:val="tx1"/>
                  </w14:solidFill>
                </w14:textFill>
              </w:rPr>
              <w:t>20</w:t>
            </w:r>
            <w:r>
              <w:rPr>
                <w:rFonts w:hint="eastAsia" w:ascii="宋体" w:hAnsi="宋体" w:cs="宋体"/>
                <w:color w:val="000000" w:themeColor="text1"/>
                <w:spacing w:val="-1"/>
                <w:kern w:val="0"/>
                <w:sz w:val="18"/>
                <w:szCs w:val="18"/>
                <w14:textFill>
                  <w14:solidFill>
                    <w14:schemeClr w14:val="tx1"/>
                  </w14:solidFill>
                </w14:textFill>
              </w:rPr>
              <w:t>%以上。</w:t>
            </w:r>
          </w:p>
        </w:tc>
        <w:tc>
          <w:tcPr>
            <w:tcW w:w="2977"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 修订专业人才培养方案及课程标准。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2.积极培育国家“十</w:t>
            </w:r>
            <w:r>
              <w:rPr>
                <w:rFonts w:hint="eastAsia" w:ascii="宋体" w:hAnsi="宋体" w:cs="宋体"/>
                <w:color w:val="000000" w:themeColor="text1"/>
                <w:spacing w:val="-1"/>
                <w:kern w:val="0"/>
                <w:sz w:val="18"/>
                <w:szCs w:val="18"/>
                <w14:textFill>
                  <w14:solidFill>
                    <w14:schemeClr w14:val="tx1"/>
                  </w14:solidFill>
                </w14:textFill>
              </w:rPr>
              <w:t>四</w:t>
            </w:r>
            <w:r>
              <w:rPr>
                <w:rFonts w:ascii="宋体" w:hAnsi="宋体" w:cs="宋体"/>
                <w:color w:val="000000" w:themeColor="text1"/>
                <w:spacing w:val="-1"/>
                <w:kern w:val="0"/>
                <w:sz w:val="18"/>
                <w:szCs w:val="18"/>
                <w14:textFill>
                  <w14:solidFill>
                    <w14:schemeClr w14:val="tx1"/>
                  </w14:solidFill>
                </w14:textFill>
              </w:rPr>
              <w:t>五”规划人才 120</w:t>
            </w:r>
            <w:r>
              <w:rPr>
                <w:rFonts w:hint="eastAsia" w:ascii="宋体" w:hAnsi="宋体" w:cs="宋体"/>
                <w:color w:val="000000" w:themeColor="text1"/>
                <w:spacing w:val="-1"/>
                <w:kern w:val="0"/>
                <w:sz w:val="18"/>
                <w:szCs w:val="18"/>
                <w14:textFill>
                  <w14:solidFill>
                    <w14:schemeClr w14:val="tx1"/>
                  </w14:solidFill>
                </w14:textFill>
              </w:rPr>
              <w:t>余</w:t>
            </w:r>
            <w:r>
              <w:rPr>
                <w:rFonts w:ascii="宋体" w:hAnsi="宋体" w:cs="宋体"/>
                <w:color w:val="000000" w:themeColor="text1"/>
                <w:spacing w:val="-1"/>
                <w:kern w:val="0"/>
                <w:sz w:val="18"/>
                <w:szCs w:val="18"/>
                <w14:textFill>
                  <w14:solidFill>
                    <w14:schemeClr w14:val="tx1"/>
                  </w14:solidFill>
                </w14:textFill>
              </w:rPr>
              <w:t>人。</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w:t>
            </w:r>
            <w:r>
              <w:rPr>
                <w:rFonts w:hint="eastAsia" w:ascii="宋体" w:hAnsi="宋体" w:cs="宋体"/>
                <w:color w:val="000000" w:themeColor="text1"/>
                <w:spacing w:val="-1"/>
                <w:kern w:val="0"/>
                <w:sz w:val="18"/>
                <w:szCs w:val="18"/>
                <w14:textFill>
                  <w14:solidFill>
                    <w14:schemeClr w14:val="tx1"/>
                  </w14:solidFill>
                </w14:textFill>
              </w:rPr>
              <w:t>新增</w:t>
            </w:r>
            <w:r>
              <w:rPr>
                <w:rFonts w:ascii="宋体" w:hAnsi="宋体" w:cs="宋体"/>
                <w:color w:val="000000" w:themeColor="text1"/>
                <w:spacing w:val="-1"/>
                <w:kern w:val="0"/>
                <w:sz w:val="18"/>
                <w:szCs w:val="18"/>
                <w14:textFill>
                  <w14:solidFill>
                    <w14:schemeClr w14:val="tx1"/>
                  </w14:solidFill>
                </w14:textFill>
              </w:rPr>
              <w:t>实训建设投入100 万元以上。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4.完成1+X 证书 25%以上。</w:t>
            </w:r>
          </w:p>
        </w:tc>
        <w:tc>
          <w:tcPr>
            <w:tcW w:w="2835"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 申报国家级课题 1 项</w:t>
            </w:r>
            <w:r>
              <w:rPr>
                <w:rFonts w:hint="eastAsia" w:ascii="宋体" w:hAnsi="宋体" w:cs="宋体"/>
                <w:color w:val="000000" w:themeColor="text1"/>
                <w:spacing w:val="-1"/>
                <w:kern w:val="0"/>
                <w:sz w:val="18"/>
                <w:szCs w:val="18"/>
                <w14:textFill>
                  <w14:solidFill>
                    <w14:schemeClr w14:val="tx1"/>
                  </w14:solidFill>
                </w14:textFill>
              </w:rPr>
              <w:t>，省级一般课题以上2项以上</w:t>
            </w:r>
            <w:r>
              <w:rPr>
                <w:rFonts w:ascii="宋体" w:hAnsi="宋体" w:cs="宋体"/>
                <w:color w:val="000000" w:themeColor="text1"/>
                <w:spacing w:val="-1"/>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2.立项教学诊断改进工作任务，并计划实施。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 3.积极参加</w:t>
            </w:r>
            <w:r>
              <w:rPr>
                <w:rFonts w:hint="eastAsia" w:ascii="宋体" w:hAnsi="宋体" w:cs="宋体"/>
                <w:color w:val="000000" w:themeColor="text1"/>
                <w:spacing w:val="-1"/>
                <w:kern w:val="0"/>
                <w:sz w:val="18"/>
                <w:szCs w:val="18"/>
                <w14:textFill>
                  <w14:solidFill>
                    <w14:schemeClr w14:val="tx1"/>
                  </w14:solidFill>
                </w14:textFill>
              </w:rPr>
              <w:t>省级以上</w:t>
            </w:r>
            <w:r>
              <w:rPr>
                <w:rFonts w:ascii="宋体" w:hAnsi="宋体" w:cs="宋体"/>
                <w:color w:val="000000" w:themeColor="text1"/>
                <w:spacing w:val="-1"/>
                <w:kern w:val="0"/>
                <w:sz w:val="18"/>
                <w:szCs w:val="18"/>
                <w14:textFill>
                  <w14:solidFill>
                    <w14:schemeClr w14:val="tx1"/>
                  </w14:solidFill>
                </w14:textFill>
              </w:rPr>
              <w:t>技能大赛,并有所突破。</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4.完成1+X 证书 30%以上。</w:t>
            </w:r>
          </w:p>
        </w:tc>
        <w:tc>
          <w:tcPr>
            <w:tcW w:w="2890"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  完成</w:t>
            </w:r>
            <w:r>
              <w:rPr>
                <w:rFonts w:hint="eastAsia" w:ascii="宋体" w:hAnsi="宋体" w:cs="宋体"/>
                <w:color w:val="000000" w:themeColor="text1"/>
                <w:spacing w:val="-1"/>
                <w:kern w:val="0"/>
                <w:sz w:val="18"/>
                <w:szCs w:val="18"/>
                <w14:textFill>
                  <w14:solidFill>
                    <w14:schemeClr w14:val="tx1"/>
                  </w14:solidFill>
                </w14:textFill>
              </w:rPr>
              <w:t>专业</w:t>
            </w:r>
            <w:r>
              <w:rPr>
                <w:rFonts w:ascii="宋体" w:hAnsi="宋体" w:cs="宋体"/>
                <w:color w:val="000000" w:themeColor="text1"/>
                <w:spacing w:val="-1"/>
                <w:kern w:val="0"/>
                <w:sz w:val="18"/>
                <w:szCs w:val="18"/>
                <w14:textFill>
                  <w14:solidFill>
                    <w14:schemeClr w14:val="tx1"/>
                  </w14:solidFill>
                </w14:textFill>
              </w:rPr>
              <w:t xml:space="preserve">技术高等职业教育创新发展行动计划骨干专业建设项目。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2.</w:t>
            </w:r>
            <w:r>
              <w:rPr>
                <w:rFonts w:ascii="宋体" w:hAnsi="宋体" w:cs="宋体"/>
                <w:color w:val="000000" w:themeColor="text1"/>
                <w:spacing w:val="-1"/>
                <w:kern w:val="0"/>
                <w:sz w:val="18"/>
                <w:szCs w:val="18"/>
                <w14:textFill>
                  <w14:solidFill>
                    <w14:schemeClr w14:val="tx1"/>
                  </w14:solidFill>
                </w14:textFill>
              </w:rPr>
              <w:t>组织教师进行信息化教学培训 20 人以上。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3.完成1+X 证书 35%以上。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4、修改人才培养方案及课程标准</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5</w:t>
            </w:r>
            <w:r>
              <w:rPr>
                <w:rFonts w:ascii="宋体" w:hAnsi="宋体" w:cs="宋体"/>
                <w:color w:val="000000" w:themeColor="text1"/>
                <w:spacing w:val="-1"/>
                <w:kern w:val="0"/>
                <w:sz w:val="18"/>
                <w:szCs w:val="18"/>
                <w14:textFill>
                  <w14:solidFill>
                    <w14:schemeClr w14:val="tx1"/>
                  </w14:solidFill>
                </w14:textFill>
              </w:rPr>
              <w:t>.</w:t>
            </w:r>
            <w:r>
              <w:rPr>
                <w:rFonts w:hint="eastAsia" w:ascii="宋体" w:hAnsi="宋体" w:cs="宋体"/>
                <w:color w:val="000000" w:themeColor="text1"/>
                <w:spacing w:val="-1"/>
                <w:kern w:val="0"/>
                <w:sz w:val="18"/>
                <w:szCs w:val="18"/>
                <w14:textFill>
                  <w14:solidFill>
                    <w14:schemeClr w14:val="tx1"/>
                  </w14:solidFill>
                </w14:textFill>
              </w:rPr>
              <w:t>组织2名以上教师进行企业调研</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1.完成</w:t>
            </w:r>
            <w:r>
              <w:rPr>
                <w:rFonts w:hint="eastAsia" w:ascii="宋体" w:hAnsi="宋体" w:cs="宋体"/>
                <w:color w:val="000000" w:themeColor="text1"/>
                <w:spacing w:val="-1"/>
                <w:kern w:val="0"/>
                <w:sz w:val="18"/>
                <w:szCs w:val="18"/>
                <w14:textFill>
                  <w14:solidFill>
                    <w14:schemeClr w14:val="tx1"/>
                  </w14:solidFill>
                </w14:textFill>
              </w:rPr>
              <w:t>省</w:t>
            </w:r>
            <w:r>
              <w:rPr>
                <w:rFonts w:ascii="宋体" w:hAnsi="宋体" w:cs="宋体"/>
                <w:color w:val="000000" w:themeColor="text1"/>
                <w:spacing w:val="-1"/>
                <w:kern w:val="0"/>
                <w:sz w:val="18"/>
                <w:szCs w:val="18"/>
                <w14:textFill>
                  <w14:solidFill>
                    <w14:schemeClr w14:val="tx1"/>
                  </w14:solidFill>
                </w14:textFill>
              </w:rPr>
              <w:t>级教学成果奖申报 1 项</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2.完成</w:t>
            </w:r>
            <w:r>
              <w:rPr>
                <w:rFonts w:hint="eastAsia" w:ascii="宋体" w:hAnsi="宋体" w:cs="宋体"/>
                <w:color w:val="000000" w:themeColor="text1"/>
                <w:spacing w:val="-1"/>
                <w:kern w:val="0"/>
                <w:sz w:val="18"/>
                <w:szCs w:val="18"/>
                <w14:textFill>
                  <w14:solidFill>
                    <w14:schemeClr w14:val="tx1"/>
                  </w14:solidFill>
                </w14:textFill>
              </w:rPr>
              <w:t>电子信息工程</w:t>
            </w:r>
            <w:r>
              <w:rPr>
                <w:rFonts w:ascii="宋体" w:hAnsi="宋体" w:cs="宋体"/>
                <w:color w:val="000000" w:themeColor="text1"/>
                <w:spacing w:val="-1"/>
                <w:kern w:val="0"/>
                <w:sz w:val="18"/>
                <w:szCs w:val="18"/>
                <w14:textFill>
                  <w14:solidFill>
                    <w14:schemeClr w14:val="tx1"/>
                  </w14:solidFill>
                </w14:textFill>
              </w:rPr>
              <w:t>技术专业核心课程职教云平台优化及运行。</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3.完成1+X 证书 40%以上。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4、建设和完善网络资源库。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285"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3.师资</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队伍</w:t>
            </w:r>
          </w:p>
        </w:tc>
        <w:tc>
          <w:tcPr>
            <w:tcW w:w="2409" w:type="dxa"/>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 专职教师中具有硕士学位以上教师比例达50%以上。       2. 专职教师中的高级专业技术职务比例达50%以上。         3.“双师”素质专业教师达到 60% 以上，重点专业达到80%。</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4.遴选出 1 名专业带头人和</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 名骨干教师一名。</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 2 人次参加下企业实践锻炼。</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6.做好各类、各级名师培育工作。</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7. 建立3名以上的校外兼职教师资源库。</w:t>
            </w:r>
          </w:p>
        </w:tc>
        <w:tc>
          <w:tcPr>
            <w:tcW w:w="2977" w:type="dxa"/>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 专职教师中具有硕士学位以上教师比例达到 50%以上。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 2. 专职教师中的高级专业技术职 务比例达到 55%以上。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3.“双师”素质专业教师达到 70% 以上，重点专业达到 85%。</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4.遴选出1名专业带头人和2名 </w:t>
            </w:r>
            <w:r>
              <w:rPr>
                <w:rFonts w:hint="eastAsia" w:ascii="宋体" w:hAnsi="宋体" w:cs="宋体"/>
                <w:color w:val="000000" w:themeColor="text1"/>
                <w:spacing w:val="-1"/>
                <w:kern w:val="0"/>
                <w:sz w:val="18"/>
                <w:szCs w:val="18"/>
                <w14:textFill>
                  <w14:solidFill>
                    <w14:schemeClr w14:val="tx1"/>
                  </w14:solidFill>
                </w14:textFill>
              </w:rPr>
              <w:t>校级</w:t>
            </w:r>
            <w:r>
              <w:rPr>
                <w:rFonts w:ascii="宋体" w:hAnsi="宋体" w:cs="宋体"/>
                <w:color w:val="000000" w:themeColor="text1"/>
                <w:spacing w:val="-1"/>
                <w:kern w:val="0"/>
                <w:sz w:val="18"/>
                <w:szCs w:val="18"/>
                <w14:textFill>
                  <w14:solidFill>
                    <w14:schemeClr w14:val="tx1"/>
                  </w14:solidFill>
                </w14:textFill>
              </w:rPr>
              <w:t>骨干教师。</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5.选派2 人次参加下企业实践锻 炼。                          6.做好各类、各级名师培育工作。</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7. 建立3 名以上的校外兼职教师资源库。</w:t>
            </w:r>
          </w:p>
        </w:tc>
        <w:tc>
          <w:tcPr>
            <w:tcW w:w="2835" w:type="dxa"/>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1.专职教师中具有硕士学位以 上教师比例达到 50%以上。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2.专职教师中的高级专业技术职</w:t>
            </w:r>
            <w:r>
              <w:rPr>
                <w:rFonts w:hint="eastAsia" w:ascii="宋体" w:hAnsi="宋体" w:cs="宋体"/>
                <w:color w:val="000000" w:themeColor="text1"/>
                <w:spacing w:val="-1"/>
                <w:kern w:val="0"/>
                <w:sz w:val="18"/>
                <w:szCs w:val="18"/>
                <w14:textFill>
                  <w14:solidFill>
                    <w14:schemeClr w14:val="tx1"/>
                  </w14:solidFill>
                </w14:textFill>
              </w:rPr>
              <w:t>称</w:t>
            </w:r>
            <w:r>
              <w:rPr>
                <w:rFonts w:ascii="宋体" w:hAnsi="宋体" w:cs="宋体"/>
                <w:color w:val="000000" w:themeColor="text1"/>
                <w:spacing w:val="-1"/>
                <w:kern w:val="0"/>
                <w:sz w:val="18"/>
                <w:szCs w:val="18"/>
                <w14:textFill>
                  <w14:solidFill>
                    <w14:schemeClr w14:val="tx1"/>
                  </w14:solidFill>
                </w14:textFill>
              </w:rPr>
              <w:t xml:space="preserve">比例达到 55%以上。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3.“双师”素质专业教师达到85%  以上，重点专业达到 90% 。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4.规范专业带头人和骨干教师 的选拔、培养专业带头人 1 名、 骨干教师以及拟培养骨干各一 人。</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5.选派1人次参加企业实践锻炼。</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6.校级教学能手 2 名。</w:t>
            </w:r>
          </w:p>
          <w:p>
            <w:pPr>
              <w:spacing w:line="280" w:lineRule="exact"/>
              <w:ind w:firstLine="0" w:firstLineChars="0"/>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7.建立5名以上的校外兼职</w:t>
            </w:r>
            <w:r>
              <w:rPr>
                <w:rFonts w:hint="eastAsia" w:ascii="宋体" w:hAnsi="宋体" w:cs="宋体"/>
                <w:color w:val="000000" w:themeColor="text1"/>
                <w:spacing w:val="-1"/>
                <w:kern w:val="0"/>
                <w:sz w:val="18"/>
                <w:szCs w:val="18"/>
                <w14:textFill>
                  <w14:solidFill>
                    <w14:schemeClr w14:val="tx1"/>
                  </w14:solidFill>
                </w14:textFill>
              </w:rPr>
              <w:t>教</w:t>
            </w:r>
            <w:r>
              <w:rPr>
                <w:rFonts w:ascii="宋体" w:hAnsi="宋体" w:cs="宋体"/>
                <w:color w:val="000000" w:themeColor="text1"/>
                <w:spacing w:val="-2"/>
                <w:kern w:val="0"/>
                <w:sz w:val="18"/>
                <w:szCs w:val="18"/>
                <w14:textFill>
                  <w14:solidFill>
                    <w14:schemeClr w14:val="tx1"/>
                  </w14:solidFill>
                </w14:textFill>
              </w:rPr>
              <w:t>师资源库。</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8.</w:t>
            </w:r>
            <w:r>
              <w:rPr>
                <w:rFonts w:ascii="宋体" w:hAnsi="宋体" w:cs="宋体"/>
                <w:color w:val="000000" w:themeColor="text1"/>
                <w:spacing w:val="-3"/>
                <w:kern w:val="0"/>
                <w:sz w:val="18"/>
                <w:szCs w:val="18"/>
                <w14:textFill>
                  <w14:solidFill>
                    <w14:schemeClr w14:val="tx1"/>
                  </w14:solidFill>
                </w14:textFill>
              </w:rPr>
              <w:t>聘请</w:t>
            </w:r>
            <w:r>
              <w:rPr>
                <w:rFonts w:ascii="宋体" w:hAnsi="宋体" w:cs="宋体"/>
                <w:color w:val="000000" w:themeColor="text1"/>
                <w:spacing w:val="-31"/>
                <w:kern w:val="0"/>
                <w:sz w:val="18"/>
                <w:szCs w:val="18"/>
                <w14:textFill>
                  <w14:solidFill>
                    <w14:schemeClr w14:val="tx1"/>
                  </w14:solidFill>
                </w14:textFill>
              </w:rPr>
              <w:t xml:space="preserve"> </w:t>
            </w:r>
            <w:r>
              <w:rPr>
                <w:rFonts w:ascii="Calibri" w:hAnsi="Calibri" w:eastAsia="Calibri" w:cs="Calibri"/>
                <w:color w:val="000000" w:themeColor="text1"/>
                <w:spacing w:val="-3"/>
                <w:kern w:val="0"/>
                <w:sz w:val="18"/>
                <w:szCs w:val="18"/>
                <w14:textFill>
                  <w14:solidFill>
                    <w14:schemeClr w14:val="tx1"/>
                  </w14:solidFill>
                </w14:textFill>
              </w:rPr>
              <w:t>1</w:t>
            </w:r>
            <w:r>
              <w:rPr>
                <w:rFonts w:ascii="Calibri" w:hAnsi="Calibri" w:eastAsia="Calibri" w:cs="Calibri"/>
                <w:color w:val="000000" w:themeColor="text1"/>
                <w:spacing w:val="15"/>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名客座教授。</w:t>
            </w:r>
          </w:p>
        </w:tc>
        <w:tc>
          <w:tcPr>
            <w:tcW w:w="2890" w:type="dxa"/>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1.专职教师中具有硕士学位以 上教师比例达到 78%以上。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2.专职教师中的高级专业技术职务比例达到 55%以上。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3.“双师”素质专业教师达到 </w:t>
            </w:r>
            <w:r>
              <w:rPr>
                <w:rFonts w:hint="eastAsia" w:ascii="宋体" w:hAnsi="宋体" w:cs="宋体"/>
                <w:color w:val="000000" w:themeColor="text1"/>
                <w:spacing w:val="-1"/>
                <w:kern w:val="0"/>
                <w:sz w:val="18"/>
                <w:szCs w:val="18"/>
                <w14:textFill>
                  <w14:solidFill>
                    <w14:schemeClr w14:val="tx1"/>
                  </w14:solidFill>
                </w14:textFill>
              </w:rPr>
              <w:t>90</w:t>
            </w:r>
            <w:r>
              <w:rPr>
                <w:rFonts w:ascii="宋体" w:hAnsi="宋体" w:cs="宋体"/>
                <w:color w:val="000000" w:themeColor="text1"/>
                <w:spacing w:val="-1"/>
                <w:kern w:val="0"/>
                <w:sz w:val="18"/>
                <w:szCs w:val="18"/>
                <w14:textFill>
                  <w14:solidFill>
                    <w14:schemeClr w14:val="tx1"/>
                  </w14:solidFill>
                </w14:textFill>
              </w:rPr>
              <w:t xml:space="preserve">%以上。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4.选拔专业带头人和骨干教师 的选拔、培养专业带头人 1 名、 骨干教师 2 名。</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5.选派2人次参加下企业实 锻炼。</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6.校级教学名师 1 名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7.规范管理 1 个名师工作室。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8.建立 5 名以上的校外兼职教</w:t>
            </w:r>
            <w:r>
              <w:rPr>
                <w:rFonts w:ascii="宋体" w:hAnsi="宋体" w:cs="宋体"/>
                <w:color w:val="000000" w:themeColor="text1"/>
                <w:spacing w:val="-2"/>
                <w:kern w:val="0"/>
                <w:sz w:val="18"/>
                <w:szCs w:val="18"/>
                <w14:textFill>
                  <w14:solidFill>
                    <w14:schemeClr w14:val="tx1"/>
                  </w14:solidFill>
                </w14:textFill>
              </w:rPr>
              <w:t>师资源库。</w:t>
            </w:r>
          </w:p>
        </w:tc>
        <w:tc>
          <w:tcPr>
            <w:tcW w:w="2835" w:type="dxa"/>
            <w:tcBorders>
              <w:right w:val="single" w:color="000000" w:sz="10" w:space="0"/>
            </w:tcBorders>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w:t>
            </w:r>
            <w:r>
              <w:rPr>
                <w:rFonts w:hint="eastAsia" w:ascii="宋体" w:hAnsi="宋体" w:cs="宋体"/>
                <w:color w:val="000000" w:themeColor="text1"/>
                <w:spacing w:val="-1"/>
                <w:kern w:val="0"/>
                <w:sz w:val="18"/>
                <w:szCs w:val="18"/>
                <w14:textFill>
                  <w14:solidFill>
                    <w14:schemeClr w14:val="tx1"/>
                  </w14:solidFill>
                </w14:textFill>
              </w:rPr>
              <w:t>培养校级名师2人以上，省级名师1人以上</w:t>
            </w:r>
            <w:r>
              <w:rPr>
                <w:rFonts w:ascii="宋体" w:hAnsi="宋体" w:cs="宋体"/>
                <w:color w:val="000000" w:themeColor="text1"/>
                <w:spacing w:val="-1"/>
                <w:kern w:val="0"/>
                <w:sz w:val="18"/>
                <w:szCs w:val="18"/>
                <w14:textFill>
                  <w14:solidFill>
                    <w14:schemeClr w14:val="tx1"/>
                  </w14:solidFill>
                </w14:textFill>
              </w:rPr>
              <w:t xml:space="preserve">。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2.专职教师中的高级专业技术职 务比例达5</w:t>
            </w:r>
            <w:r>
              <w:rPr>
                <w:rFonts w:hint="eastAsia" w:ascii="宋体" w:hAnsi="宋体" w:cs="宋体"/>
                <w:color w:val="000000" w:themeColor="text1"/>
                <w:spacing w:val="-1"/>
                <w:kern w:val="0"/>
                <w:sz w:val="18"/>
                <w:szCs w:val="18"/>
                <w:lang w:val="en-US" w:eastAsia="zh-CN"/>
                <w14:textFill>
                  <w14:solidFill>
                    <w14:schemeClr w14:val="tx1"/>
                  </w14:solidFill>
                </w14:textFill>
              </w:rPr>
              <w:t>0</w:t>
            </w:r>
            <w:r>
              <w:rPr>
                <w:rFonts w:ascii="宋体" w:hAnsi="宋体" w:cs="宋体"/>
                <w:color w:val="000000" w:themeColor="text1"/>
                <w:spacing w:val="-1"/>
                <w:kern w:val="0"/>
                <w:sz w:val="18"/>
                <w:szCs w:val="18"/>
                <w14:textFill>
                  <w14:solidFill>
                    <w14:schemeClr w14:val="tx1"/>
                  </w14:solidFill>
                </w14:textFill>
              </w:rPr>
              <w:t>%以上。</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3.“双师”素质专业教师</w:t>
            </w:r>
            <w:r>
              <w:rPr>
                <w:rFonts w:hint="eastAsia" w:ascii="宋体" w:hAnsi="宋体" w:cs="宋体"/>
                <w:color w:val="000000" w:themeColor="text1"/>
                <w:spacing w:val="-1"/>
                <w:kern w:val="0"/>
                <w:sz w:val="18"/>
                <w:szCs w:val="18"/>
                <w14:textFill>
                  <w14:solidFill>
                    <w14:schemeClr w14:val="tx1"/>
                  </w14:solidFill>
                </w14:textFill>
              </w:rPr>
              <w:t>大于9</w:t>
            </w:r>
            <w:r>
              <w:rPr>
                <w:rFonts w:ascii="宋体" w:hAnsi="宋体" w:cs="宋体"/>
                <w:color w:val="000000" w:themeColor="text1"/>
                <w:spacing w:val="-1"/>
                <w:kern w:val="0"/>
                <w:sz w:val="18"/>
                <w:szCs w:val="18"/>
                <w14:textFill>
                  <w14:solidFill>
                    <w14:schemeClr w14:val="tx1"/>
                  </w14:solidFill>
                </w14:textFill>
              </w:rPr>
              <w:t xml:space="preserve">0% 。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4.规范专业带头人和骨干教师的 选拔、培养专业带头人 1 名、骨干 教师 2 名。</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 2 人次参加企业实践锻 炼。</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6 校级教学名师 1 名。</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7.建立 </w:t>
            </w:r>
            <w:r>
              <w:rPr>
                <w:rFonts w:hint="eastAsia" w:ascii="宋体" w:hAnsi="宋体" w:cs="宋体"/>
                <w:color w:val="000000" w:themeColor="text1"/>
                <w:spacing w:val="-1"/>
                <w:kern w:val="0"/>
                <w:sz w:val="18"/>
                <w:szCs w:val="18"/>
                <w:lang w:val="en-US" w:eastAsia="zh-CN"/>
                <w14:textFill>
                  <w14:solidFill>
                    <w14:schemeClr w14:val="tx1"/>
                  </w14:solidFill>
                </w14:textFill>
              </w:rPr>
              <w:t>6</w:t>
            </w:r>
            <w:r>
              <w:rPr>
                <w:rFonts w:ascii="宋体" w:hAnsi="宋体" w:cs="宋体"/>
                <w:color w:val="000000" w:themeColor="text1"/>
                <w:spacing w:val="-1"/>
                <w:kern w:val="0"/>
                <w:sz w:val="18"/>
                <w:szCs w:val="18"/>
                <w14:textFill>
                  <w14:solidFill>
                    <w14:schemeClr w14:val="tx1"/>
                  </w14:solidFill>
                </w14:textFill>
              </w:rPr>
              <w:t xml:space="preserve"> 名以上的校外兼职教师 资源库。</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8.生师比达到18:1.</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454"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4.人才</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培养</w:t>
            </w:r>
          </w:p>
        </w:tc>
        <w:tc>
          <w:tcPr>
            <w:tcW w:w="2409"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1.增加</w:t>
            </w:r>
            <w:r>
              <w:rPr>
                <w:rFonts w:hint="eastAsia" w:ascii="宋体" w:hAnsi="宋体" w:cs="宋体"/>
                <w:color w:val="000000" w:themeColor="text1"/>
                <w:spacing w:val="-1"/>
                <w:kern w:val="0"/>
                <w:sz w:val="18"/>
                <w:szCs w:val="18"/>
                <w14:textFill>
                  <w14:solidFill>
                    <w14:schemeClr w14:val="tx1"/>
                  </w14:solidFill>
                </w14:textFill>
              </w:rPr>
              <w:t>电子信息实验实训设备4万元。</w:t>
            </w:r>
            <w:r>
              <w:rPr>
                <w:rFonts w:ascii="宋体" w:hAnsi="宋体" w:cs="宋体"/>
                <w:color w:val="000000" w:themeColor="text1"/>
                <w:spacing w:val="-1"/>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2.学生获</w:t>
            </w:r>
            <w:r>
              <w:rPr>
                <w:rFonts w:hint="eastAsia" w:ascii="宋体" w:hAnsi="宋体" w:cs="宋体"/>
                <w:color w:val="000000" w:themeColor="text1"/>
                <w:spacing w:val="-1"/>
                <w:kern w:val="0"/>
                <w:sz w:val="18"/>
                <w:szCs w:val="18"/>
                <w14:textFill>
                  <w14:solidFill>
                    <w14:schemeClr w14:val="tx1"/>
                  </w14:solidFill>
                </w14:textFill>
              </w:rPr>
              <w:t>江西省</w:t>
            </w:r>
            <w:r>
              <w:rPr>
                <w:rFonts w:ascii="宋体" w:hAnsi="宋体" w:cs="宋体"/>
                <w:color w:val="000000" w:themeColor="text1"/>
                <w:spacing w:val="-1"/>
                <w:kern w:val="0"/>
                <w:sz w:val="18"/>
                <w:szCs w:val="18"/>
                <w14:textFill>
                  <w14:solidFill>
                    <w14:schemeClr w14:val="tx1"/>
                  </w14:solidFill>
                </w14:textFill>
              </w:rPr>
              <w:t>职业院校技能大赛奖励2 项以上</w:t>
            </w:r>
            <w:r>
              <w:rPr>
                <w:rFonts w:hint="eastAsia" w:ascii="宋体" w:hAnsi="宋体" w:cs="宋体"/>
                <w:color w:val="000000" w:themeColor="text1"/>
                <w:spacing w:val="-1"/>
                <w:kern w:val="0"/>
                <w:sz w:val="18"/>
                <w:szCs w:val="18"/>
                <w14:textFill>
                  <w14:solidFill>
                    <w14:schemeClr w14:val="tx1"/>
                  </w14:solidFill>
                </w14:textFill>
              </w:rPr>
              <w:t>，获得国家电子设计大赛一等奖1项</w:t>
            </w:r>
            <w:r>
              <w:rPr>
                <w:rFonts w:ascii="宋体" w:hAnsi="宋体" w:cs="宋体"/>
                <w:color w:val="000000" w:themeColor="text1"/>
                <w:spacing w:val="-1"/>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3.组织学生参加各类技能竞赛、教师教学竞赛，配合学校完成《</w:t>
            </w:r>
            <w:r>
              <w:rPr>
                <w:rFonts w:hint="eastAsia" w:ascii="宋体" w:hAnsi="宋体" w:cs="宋体"/>
                <w:color w:val="000000" w:themeColor="text1"/>
                <w:spacing w:val="-1"/>
                <w:kern w:val="0"/>
                <w:sz w:val="18"/>
                <w:szCs w:val="18"/>
                <w14:textFill>
                  <w14:solidFill>
                    <w14:schemeClr w14:val="tx1"/>
                  </w14:solidFill>
                </w14:textFill>
              </w:rPr>
              <w:t>人</w:t>
            </w:r>
            <w:r>
              <w:rPr>
                <w:rFonts w:ascii="宋体" w:hAnsi="宋体" w:cs="宋体"/>
                <w:color w:val="000000" w:themeColor="text1"/>
                <w:spacing w:val="-1"/>
                <w:kern w:val="0"/>
                <w:sz w:val="18"/>
                <w:szCs w:val="18"/>
                <w14:textFill>
                  <w14:solidFill>
                    <w14:schemeClr w14:val="tx1"/>
                  </w14:solidFill>
                </w14:textFill>
              </w:rPr>
              <w:t>才培养质量报告》撰写。</w:t>
            </w:r>
          </w:p>
        </w:tc>
        <w:tc>
          <w:tcPr>
            <w:tcW w:w="2977" w:type="dxa"/>
          </w:tcPr>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1.增加</w:t>
            </w:r>
            <w:r>
              <w:rPr>
                <w:rFonts w:hint="eastAsia" w:ascii="宋体" w:hAnsi="宋体" w:cs="宋体"/>
                <w:color w:val="000000" w:themeColor="text1"/>
                <w:spacing w:val="8"/>
                <w:kern w:val="0"/>
                <w:sz w:val="18"/>
                <w:szCs w:val="18"/>
                <w14:textFill>
                  <w14:solidFill>
                    <w14:schemeClr w14:val="tx1"/>
                  </w14:solidFill>
                </w14:textFill>
              </w:rPr>
              <w:t>电工电子实训平台</w:t>
            </w:r>
            <w:r>
              <w:rPr>
                <w:rFonts w:ascii="宋体" w:hAnsi="宋体" w:cs="宋体"/>
                <w:color w:val="000000" w:themeColor="text1"/>
                <w:spacing w:val="8"/>
                <w:kern w:val="0"/>
                <w:sz w:val="18"/>
                <w:szCs w:val="18"/>
                <w14:textFill>
                  <w14:solidFill>
                    <w14:schemeClr w14:val="tx1"/>
                  </w14:solidFill>
                </w14:textFill>
              </w:rPr>
              <w:t xml:space="preserve">实验室 1 间。  </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2.学生获</w:t>
            </w:r>
            <w:r>
              <w:rPr>
                <w:rFonts w:hint="eastAsia" w:ascii="宋体" w:hAnsi="宋体" w:cs="宋体"/>
                <w:color w:val="000000" w:themeColor="text1"/>
                <w:spacing w:val="8"/>
                <w:kern w:val="0"/>
                <w:sz w:val="18"/>
                <w:szCs w:val="18"/>
                <w14:textFill>
                  <w14:solidFill>
                    <w14:schemeClr w14:val="tx1"/>
                  </w14:solidFill>
                </w14:textFill>
              </w:rPr>
              <w:t>省级</w:t>
            </w:r>
            <w:r>
              <w:rPr>
                <w:rFonts w:ascii="宋体" w:hAnsi="宋体" w:cs="宋体"/>
                <w:color w:val="000000" w:themeColor="text1"/>
                <w:spacing w:val="8"/>
                <w:kern w:val="0"/>
                <w:sz w:val="18"/>
                <w:szCs w:val="18"/>
                <w14:textFill>
                  <w14:solidFill>
                    <w14:schemeClr w14:val="tx1"/>
                  </w14:solidFill>
                </w14:textFill>
              </w:rPr>
              <w:t xml:space="preserve">职业院校技能大赛、 行业协会比赛奖励 2 项以上。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3.组织学生参加各类技能竞赛、教 师教学竞赛，配合学校完成《</w:t>
            </w:r>
            <w:r>
              <w:rPr>
                <w:rFonts w:hint="eastAsia" w:ascii="宋体" w:hAnsi="宋体" w:cs="宋体"/>
                <w:color w:val="000000" w:themeColor="text1"/>
                <w:spacing w:val="8"/>
                <w:kern w:val="0"/>
                <w:sz w:val="18"/>
                <w:szCs w:val="18"/>
                <w14:textFill>
                  <w14:solidFill>
                    <w14:schemeClr w14:val="tx1"/>
                  </w14:solidFill>
                </w14:textFill>
              </w:rPr>
              <w:t>人</w:t>
            </w:r>
            <w:r>
              <w:rPr>
                <w:rFonts w:ascii="宋体" w:hAnsi="宋体" w:cs="宋体"/>
                <w:color w:val="000000" w:themeColor="text1"/>
                <w:spacing w:val="8"/>
                <w:kern w:val="0"/>
                <w:sz w:val="18"/>
                <w:szCs w:val="18"/>
                <w14:textFill>
                  <w14:solidFill>
                    <w14:schemeClr w14:val="tx1"/>
                  </w14:solidFill>
                </w14:textFill>
              </w:rPr>
              <w:t>才培养质量</w:t>
            </w:r>
            <w:r>
              <w:rPr>
                <w:rFonts w:hint="eastAsia" w:ascii="宋体" w:hAnsi="宋体" w:cs="宋体"/>
                <w:color w:val="000000" w:themeColor="text1"/>
                <w:spacing w:val="8"/>
                <w:kern w:val="0"/>
                <w:sz w:val="18"/>
                <w:szCs w:val="18"/>
                <w14:textFill>
                  <w14:solidFill>
                    <w14:schemeClr w14:val="tx1"/>
                  </w14:solidFill>
                </w14:textFill>
              </w:rPr>
              <w:t>调查</w:t>
            </w:r>
            <w:r>
              <w:rPr>
                <w:rFonts w:ascii="宋体" w:hAnsi="宋体" w:cs="宋体"/>
                <w:color w:val="000000" w:themeColor="text1"/>
                <w:spacing w:val="8"/>
                <w:kern w:val="0"/>
                <w:sz w:val="18"/>
                <w:szCs w:val="18"/>
                <w14:textFill>
                  <w14:solidFill>
                    <w14:schemeClr w14:val="tx1"/>
                  </w14:solidFill>
                </w14:textFill>
              </w:rPr>
              <w:t>报告》撰写。</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完善校企合作人才培养模式</w:t>
            </w:r>
          </w:p>
        </w:tc>
        <w:tc>
          <w:tcPr>
            <w:tcW w:w="2835" w:type="dxa"/>
          </w:tcPr>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1.建设</w:t>
            </w:r>
            <w:r>
              <w:rPr>
                <w:rFonts w:hint="eastAsia" w:ascii="宋体" w:hAnsi="宋体" w:cs="宋体"/>
                <w:color w:val="000000" w:themeColor="text1"/>
                <w:spacing w:val="8"/>
                <w:kern w:val="0"/>
                <w:sz w:val="18"/>
                <w:szCs w:val="18"/>
                <w14:textFill>
                  <w14:solidFill>
                    <w14:schemeClr w14:val="tx1"/>
                  </w14:solidFill>
                </w14:textFill>
              </w:rPr>
              <w:t>电子实验中心1个以上</w:t>
            </w:r>
            <w:r>
              <w:rPr>
                <w:rFonts w:ascii="宋体" w:hAnsi="宋体" w:cs="宋体"/>
                <w:color w:val="000000" w:themeColor="text1"/>
                <w:spacing w:val="8"/>
                <w:kern w:val="0"/>
                <w:sz w:val="18"/>
                <w:szCs w:val="18"/>
                <w14:textFill>
                  <w14:solidFill>
                    <w14:schemeClr w14:val="tx1"/>
                  </w14:solidFill>
                </w14:textFill>
              </w:rPr>
              <w:t xml:space="preserve">。        </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 xml:space="preserve">2.学生在合作企业实习 6 个月及以上占比达到 90%以上。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 学生获</w:t>
            </w:r>
            <w:r>
              <w:rPr>
                <w:rFonts w:hint="eastAsia" w:ascii="宋体" w:hAnsi="宋体" w:cs="宋体"/>
                <w:color w:val="000000" w:themeColor="text1"/>
                <w:spacing w:val="8"/>
                <w:kern w:val="0"/>
                <w:sz w:val="18"/>
                <w:szCs w:val="18"/>
                <w14:textFill>
                  <w14:solidFill>
                    <w14:schemeClr w14:val="tx1"/>
                  </w14:solidFill>
                </w14:textFill>
              </w:rPr>
              <w:t>省级</w:t>
            </w:r>
            <w:r>
              <w:rPr>
                <w:rFonts w:ascii="宋体" w:hAnsi="宋体" w:cs="宋体"/>
                <w:color w:val="000000" w:themeColor="text1"/>
                <w:spacing w:val="8"/>
                <w:kern w:val="0"/>
                <w:sz w:val="18"/>
                <w:szCs w:val="18"/>
                <w14:textFill>
                  <w14:solidFill>
                    <w14:schemeClr w14:val="tx1"/>
                  </w14:solidFill>
                </w14:textFill>
              </w:rPr>
              <w:t xml:space="preserve">职业院校技能大赛、 行业协会比赛奖励 2 项以上。                         4.积极参与校级学生技能竞赛， </w:t>
            </w:r>
            <w:r>
              <w:rPr>
                <w:rFonts w:hint="eastAsia" w:ascii="宋体" w:hAnsi="宋体" w:cs="宋体"/>
                <w:color w:val="000000" w:themeColor="text1"/>
                <w:spacing w:val="8"/>
                <w:kern w:val="0"/>
                <w:sz w:val="18"/>
                <w:szCs w:val="18"/>
                <w14:textFill>
                  <w14:solidFill>
                    <w14:schemeClr w14:val="tx1"/>
                  </w14:solidFill>
                </w14:textFill>
              </w:rPr>
              <w:t>5.完善校企合作人才培养模式</w:t>
            </w:r>
          </w:p>
        </w:tc>
        <w:tc>
          <w:tcPr>
            <w:tcW w:w="2890" w:type="dxa"/>
          </w:tcPr>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w:t>
            </w:r>
            <w:r>
              <w:rPr>
                <w:rFonts w:hint="eastAsia" w:ascii="宋体" w:hAnsi="宋体" w:cs="宋体"/>
                <w:color w:val="000000" w:themeColor="text1"/>
                <w:spacing w:val="8"/>
                <w:kern w:val="0"/>
                <w:sz w:val="18"/>
                <w:szCs w:val="18"/>
                <w14:textFill>
                  <w14:solidFill>
                    <w14:schemeClr w14:val="tx1"/>
                  </w14:solidFill>
                </w14:textFill>
              </w:rPr>
              <w:t>完成旧实验设备更新，完善新实验室实验设备。实验实训设备达到</w:t>
            </w:r>
            <w:r>
              <w:rPr>
                <w:rFonts w:ascii="宋体" w:hAnsi="宋体" w:cs="宋体"/>
                <w:color w:val="000000" w:themeColor="text1"/>
                <w:spacing w:val="8"/>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 学生获全国职业院校技能大赛、行业协会比赛奖励 1 项以 上。                        3.积极参与校级学生技能竞赛、 教师教学竞赛，配合学校完成 《人才培养质量报告》 的撰写。</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 规划期内完成校级教研教改课题 1 项 。                      2.学生获全国职业院校技能大赛、创新创业类大赛、行业协会比赛奖励 1 项以上。                  3.积极参与教师教学竞赛，配合学 校完成《人才培养质量报告》 的撰写。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73"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5.教学</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资源</w:t>
            </w:r>
          </w:p>
        </w:tc>
        <w:tc>
          <w:tcPr>
            <w:tcW w:w="2409"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每门专业核心课建设多媒体教学资源不少于 1G。</w:t>
            </w:r>
          </w:p>
        </w:tc>
        <w:tc>
          <w:tcPr>
            <w:tcW w:w="2977"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每门专业核心课建设多媒体教学 资源不少于 1G。</w:t>
            </w:r>
          </w:p>
        </w:tc>
        <w:tc>
          <w:tcPr>
            <w:tcW w:w="2835"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每门专业核心课建设多媒体 教学资源不少于 2G。</w:t>
            </w:r>
          </w:p>
        </w:tc>
        <w:tc>
          <w:tcPr>
            <w:tcW w:w="2890" w:type="dxa"/>
          </w:tcPr>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1.每门专业核心课建设多媒体教学资源不少于2G。</w:t>
            </w:r>
          </w:p>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w:t>
            </w:r>
            <w:r>
              <w:rPr>
                <w:rFonts w:hint="eastAsia" w:ascii="宋体" w:hAnsi="宋体" w:cs="宋体"/>
                <w:color w:val="000000" w:themeColor="text1"/>
                <w:spacing w:val="8"/>
                <w:kern w:val="0"/>
                <w:sz w:val="18"/>
                <w:szCs w:val="18"/>
                <w14:textFill>
                  <w14:solidFill>
                    <w14:schemeClr w14:val="tx1"/>
                  </w14:solidFill>
                </w14:textFill>
              </w:rPr>
              <w:t>编写实验指导书3本</w:t>
            </w:r>
          </w:p>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3、编写校本教材1部</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1</w:t>
            </w:r>
            <w:r>
              <w:rPr>
                <w:rFonts w:ascii="宋体" w:hAnsi="宋体" w:cs="宋体"/>
                <w:color w:val="000000" w:themeColor="text1"/>
                <w:spacing w:val="8"/>
                <w:kern w:val="0"/>
                <w:sz w:val="18"/>
                <w:szCs w:val="18"/>
                <w14:textFill>
                  <w14:solidFill>
                    <w14:schemeClr w14:val="tx1"/>
                  </w14:solidFill>
                </w14:textFill>
              </w:rPr>
              <w:t>.每门专业核心课建设多媒体教学 资源不少于3G。</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编写全部核心课程实验指导书</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编写规划教材1部。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84"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6.教研</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科研</w:t>
            </w:r>
          </w:p>
        </w:tc>
        <w:tc>
          <w:tcPr>
            <w:tcW w:w="2409" w:type="dxa"/>
          </w:tcPr>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1.省</w:t>
            </w:r>
            <w:r>
              <w:rPr>
                <w:rFonts w:hint="eastAsia" w:ascii="宋体" w:hAnsi="宋体" w:cs="宋体"/>
                <w:color w:val="000000" w:themeColor="text1"/>
                <w:spacing w:val="8"/>
                <w:kern w:val="0"/>
                <w:sz w:val="18"/>
                <w:szCs w:val="18"/>
                <w14:textFill>
                  <w14:solidFill>
                    <w14:schemeClr w14:val="tx1"/>
                  </w14:solidFill>
                </w14:textFill>
              </w:rPr>
              <w:t>、校</w:t>
            </w:r>
            <w:r>
              <w:rPr>
                <w:rFonts w:ascii="宋体" w:hAnsi="宋体" w:cs="宋体"/>
                <w:color w:val="000000" w:themeColor="text1"/>
                <w:spacing w:val="8"/>
                <w:kern w:val="0"/>
                <w:sz w:val="18"/>
                <w:szCs w:val="18"/>
                <w14:textFill>
                  <w14:solidFill>
                    <w14:schemeClr w14:val="tx1"/>
                  </w14:solidFill>
                </w14:textFill>
              </w:rPr>
              <w:t xml:space="preserve">级及以上科研课题（含教研教改）1 项。                  </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.公开发表论文10</w:t>
            </w:r>
            <w:r>
              <w:rPr>
                <w:rFonts w:hint="eastAsia" w:ascii="宋体" w:hAnsi="宋体" w:cs="宋体"/>
                <w:color w:val="000000" w:themeColor="text1"/>
                <w:spacing w:val="8"/>
                <w:kern w:val="0"/>
                <w:sz w:val="18"/>
                <w:szCs w:val="18"/>
                <w14:textFill>
                  <w14:solidFill>
                    <w14:schemeClr w14:val="tx1"/>
                  </w14:solidFill>
                </w14:textFill>
              </w:rPr>
              <w:t>余</w:t>
            </w:r>
            <w:r>
              <w:rPr>
                <w:rFonts w:ascii="宋体" w:hAnsi="宋体" w:cs="宋体"/>
                <w:color w:val="000000" w:themeColor="text1"/>
                <w:spacing w:val="8"/>
                <w:kern w:val="0"/>
                <w:sz w:val="18"/>
                <w:szCs w:val="18"/>
                <w14:textFill>
                  <w14:solidFill>
                    <w14:schemeClr w14:val="tx1"/>
                  </w14:solidFill>
                </w14:textFill>
              </w:rPr>
              <w:t>篇</w:t>
            </w:r>
            <w:r>
              <w:rPr>
                <w:rFonts w:hint="eastAsia" w:ascii="宋体" w:hAnsi="宋体" w:cs="宋体"/>
                <w:color w:val="000000" w:themeColor="text1"/>
                <w:spacing w:val="8"/>
                <w:kern w:val="0"/>
                <w:sz w:val="18"/>
                <w:szCs w:val="18"/>
                <w14:textFill>
                  <w14:solidFill>
                    <w14:schemeClr w14:val="tx1"/>
                  </w14:solidFill>
                </w14:textFill>
              </w:rPr>
              <w:t>（含省级期刊9篇，S</w:t>
            </w:r>
            <w:r>
              <w:rPr>
                <w:rFonts w:ascii="宋体" w:hAnsi="宋体" w:cs="宋体"/>
                <w:color w:val="000000" w:themeColor="text1"/>
                <w:spacing w:val="8"/>
                <w:kern w:val="0"/>
                <w:sz w:val="18"/>
                <w:szCs w:val="18"/>
                <w14:textFill>
                  <w14:solidFill>
                    <w14:schemeClr w14:val="tx1"/>
                  </w14:solidFill>
                </w14:textFill>
              </w:rPr>
              <w:t>SCI 1</w:t>
            </w:r>
            <w:r>
              <w:rPr>
                <w:rFonts w:hint="eastAsia" w:ascii="宋体" w:hAnsi="宋体" w:cs="宋体"/>
                <w:color w:val="000000" w:themeColor="text1"/>
                <w:spacing w:val="8"/>
                <w:kern w:val="0"/>
                <w:sz w:val="18"/>
                <w:szCs w:val="18"/>
                <w14:textFill>
                  <w14:solidFill>
                    <w14:schemeClr w14:val="tx1"/>
                  </w14:solidFill>
                </w14:textFill>
              </w:rPr>
              <w:t>篇）</w:t>
            </w:r>
            <w:r>
              <w:rPr>
                <w:rFonts w:ascii="宋体" w:hAnsi="宋体" w:cs="宋体"/>
                <w:color w:val="000000" w:themeColor="text1"/>
                <w:spacing w:val="8"/>
                <w:kern w:val="0"/>
                <w:sz w:val="18"/>
                <w:szCs w:val="18"/>
                <w14:textFill>
                  <w14:solidFill>
                    <w14:schemeClr w14:val="tx1"/>
                  </w14:solidFill>
                </w14:textFill>
              </w:rPr>
              <w:t>。</w:t>
            </w:r>
          </w:p>
          <w:p>
            <w:pPr>
              <w:spacing w:line="280" w:lineRule="exact"/>
              <w:ind w:firstLine="0" w:firstLineChars="0"/>
              <w:jc w:val="center"/>
              <w:rPr>
                <w:rFonts w:ascii="宋体" w:hAnsi="宋体" w:cs="宋体"/>
                <w:color w:val="000000" w:themeColor="text1"/>
                <w:spacing w:val="-1"/>
                <w:kern w:val="0"/>
                <w:sz w:val="18"/>
                <w:szCs w:val="18"/>
                <w14:textFill>
                  <w14:solidFill>
                    <w14:schemeClr w14:val="tx1"/>
                  </w14:solidFill>
                </w14:textFill>
              </w:rPr>
            </w:pPr>
          </w:p>
        </w:tc>
        <w:tc>
          <w:tcPr>
            <w:tcW w:w="2977" w:type="dxa"/>
          </w:tcPr>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1.省</w:t>
            </w:r>
            <w:r>
              <w:rPr>
                <w:rFonts w:hint="eastAsia" w:ascii="宋体" w:hAnsi="宋体" w:cs="宋体"/>
                <w:color w:val="000000" w:themeColor="text1"/>
                <w:spacing w:val="8"/>
                <w:kern w:val="0"/>
                <w:sz w:val="18"/>
                <w:szCs w:val="18"/>
                <w14:textFill>
                  <w14:solidFill>
                    <w14:schemeClr w14:val="tx1"/>
                  </w14:solidFill>
                </w14:textFill>
              </w:rPr>
              <w:t>、校</w:t>
            </w:r>
            <w:r>
              <w:rPr>
                <w:rFonts w:ascii="宋体" w:hAnsi="宋体" w:cs="宋体"/>
                <w:color w:val="000000" w:themeColor="text1"/>
                <w:spacing w:val="8"/>
                <w:kern w:val="0"/>
                <w:sz w:val="18"/>
                <w:szCs w:val="18"/>
                <w14:textFill>
                  <w14:solidFill>
                    <w14:schemeClr w14:val="tx1"/>
                  </w14:solidFill>
                </w14:textFill>
              </w:rPr>
              <w:t xml:space="preserve">级及以上科研课题（含教研教改） 1 项。                  </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.公开发表论文6 篇</w:t>
            </w:r>
            <w:r>
              <w:rPr>
                <w:rFonts w:hint="eastAsia" w:ascii="宋体" w:hAnsi="宋体" w:cs="宋体"/>
                <w:color w:val="000000" w:themeColor="text1"/>
                <w:spacing w:val="8"/>
                <w:kern w:val="0"/>
                <w:sz w:val="18"/>
                <w:szCs w:val="18"/>
                <w14:textFill>
                  <w14:solidFill>
                    <w14:schemeClr w14:val="tx1"/>
                  </w14:solidFill>
                </w14:textFill>
              </w:rPr>
              <w:t>以上</w:t>
            </w:r>
            <w:r>
              <w:rPr>
                <w:rFonts w:ascii="宋体" w:hAnsi="宋体" w:cs="宋体"/>
                <w:color w:val="000000" w:themeColor="text1"/>
                <w:spacing w:val="8"/>
                <w:kern w:val="0"/>
                <w:sz w:val="18"/>
                <w:szCs w:val="18"/>
                <w14:textFill>
                  <w14:solidFill>
                    <w14:schemeClr w14:val="tx1"/>
                  </w14:solidFill>
                </w14:textFill>
              </w:rPr>
              <w:t>。</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p>
        </w:tc>
        <w:tc>
          <w:tcPr>
            <w:tcW w:w="2835" w:type="dxa"/>
          </w:tcPr>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 省</w:t>
            </w:r>
            <w:r>
              <w:rPr>
                <w:rFonts w:hint="eastAsia" w:ascii="宋体" w:hAnsi="宋体" w:cs="宋体"/>
                <w:color w:val="000000" w:themeColor="text1"/>
                <w:spacing w:val="8"/>
                <w:kern w:val="0"/>
                <w:sz w:val="18"/>
                <w:szCs w:val="18"/>
                <w14:textFill>
                  <w14:solidFill>
                    <w14:schemeClr w14:val="tx1"/>
                  </w14:solidFill>
                </w14:textFill>
              </w:rPr>
              <w:t>、校</w:t>
            </w:r>
            <w:r>
              <w:rPr>
                <w:rFonts w:ascii="宋体" w:hAnsi="宋体" w:cs="宋体"/>
                <w:color w:val="000000" w:themeColor="text1"/>
                <w:spacing w:val="8"/>
                <w:kern w:val="0"/>
                <w:sz w:val="18"/>
                <w:szCs w:val="18"/>
                <w14:textFill>
                  <w14:solidFill>
                    <w14:schemeClr w14:val="tx1"/>
                  </w14:solidFill>
                </w14:textFill>
              </w:rPr>
              <w:t xml:space="preserve">级科研课题（含教研教改） 2 项 。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.公开发表论文8 篇。</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w:t>
            </w:r>
            <w:r>
              <w:rPr>
                <w:rFonts w:hint="eastAsia" w:ascii="宋体" w:hAnsi="宋体" w:cs="宋体"/>
                <w:color w:val="000000" w:themeColor="text1"/>
                <w:spacing w:val="8"/>
                <w:kern w:val="0"/>
                <w:sz w:val="18"/>
                <w:szCs w:val="18"/>
                <w14:textFill>
                  <w14:solidFill>
                    <w14:schemeClr w14:val="tx1"/>
                  </w14:solidFill>
                </w14:textFill>
              </w:rPr>
              <w:t>申请发明专利1项，实用新型专利2项。</w:t>
            </w:r>
            <w:r>
              <w:rPr>
                <w:rFonts w:ascii="宋体" w:hAnsi="宋体" w:cs="宋体"/>
                <w:color w:val="000000" w:themeColor="text1"/>
                <w:spacing w:val="8"/>
                <w:kern w:val="0"/>
                <w:sz w:val="18"/>
                <w:szCs w:val="18"/>
                <w14:textFill>
                  <w14:solidFill>
                    <w14:schemeClr w14:val="tx1"/>
                  </w14:solidFill>
                </w14:textFill>
              </w:rPr>
              <w:t xml:space="preserve">    </w:t>
            </w:r>
          </w:p>
        </w:tc>
        <w:tc>
          <w:tcPr>
            <w:tcW w:w="2890" w:type="dxa"/>
          </w:tcPr>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 省</w:t>
            </w:r>
            <w:r>
              <w:rPr>
                <w:rFonts w:hint="eastAsia" w:ascii="宋体" w:hAnsi="宋体" w:cs="宋体"/>
                <w:color w:val="000000" w:themeColor="text1"/>
                <w:spacing w:val="8"/>
                <w:kern w:val="0"/>
                <w:sz w:val="18"/>
                <w:szCs w:val="18"/>
                <w14:textFill>
                  <w14:solidFill>
                    <w14:schemeClr w14:val="tx1"/>
                  </w14:solidFill>
                </w14:textFill>
              </w:rPr>
              <w:t>、校</w:t>
            </w:r>
            <w:r>
              <w:rPr>
                <w:rFonts w:ascii="宋体" w:hAnsi="宋体" w:cs="宋体"/>
                <w:color w:val="000000" w:themeColor="text1"/>
                <w:spacing w:val="8"/>
                <w:kern w:val="0"/>
                <w:sz w:val="18"/>
                <w:szCs w:val="18"/>
                <w14:textFill>
                  <w14:solidFill>
                    <w14:schemeClr w14:val="tx1"/>
                  </w14:solidFill>
                </w14:textFill>
              </w:rPr>
              <w:t>级科研课题（含教研教 改） 1 项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.公开发表论文8 篇</w:t>
            </w:r>
            <w:r>
              <w:rPr>
                <w:rFonts w:hint="eastAsia" w:ascii="宋体" w:hAnsi="宋体" w:cs="宋体"/>
                <w:color w:val="000000" w:themeColor="text1"/>
                <w:spacing w:val="8"/>
                <w:kern w:val="0"/>
                <w:sz w:val="18"/>
                <w:szCs w:val="18"/>
                <w14:textFill>
                  <w14:solidFill>
                    <w14:schemeClr w14:val="tx1"/>
                  </w14:solidFill>
                </w14:textFill>
              </w:rPr>
              <w:t>（中文核心以上2篇）</w:t>
            </w:r>
            <w:r>
              <w:rPr>
                <w:rFonts w:ascii="宋体" w:hAnsi="宋体" w:cs="宋体"/>
                <w:color w:val="000000" w:themeColor="text1"/>
                <w:spacing w:val="8"/>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w:t>
            </w:r>
            <w:r>
              <w:rPr>
                <w:rFonts w:ascii="宋体" w:hAnsi="宋体" w:cs="宋体"/>
                <w:color w:val="000000" w:themeColor="text1"/>
                <w:spacing w:val="8"/>
                <w:kern w:val="0"/>
                <w:sz w:val="18"/>
                <w:szCs w:val="18"/>
                <w14:textFill>
                  <w14:solidFill>
                    <w14:schemeClr w14:val="tx1"/>
                  </w14:solidFill>
                </w14:textFill>
              </w:rPr>
              <w:t>.承办学术交流活动 1 场。</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4.获得校级以上教学成果奖1项</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 xml:space="preserve">1.公开发表论文不少于 </w:t>
            </w:r>
            <w:r>
              <w:rPr>
                <w:rFonts w:hint="eastAsia" w:ascii="宋体" w:hAnsi="宋体" w:cs="宋体"/>
                <w:color w:val="000000" w:themeColor="text1"/>
                <w:spacing w:val="8"/>
                <w:kern w:val="0"/>
                <w:sz w:val="18"/>
                <w:szCs w:val="18"/>
                <w14:textFill>
                  <w14:solidFill>
                    <w14:schemeClr w14:val="tx1"/>
                  </w14:solidFill>
                </w14:textFill>
              </w:rPr>
              <w:t>8</w:t>
            </w:r>
            <w:r>
              <w:rPr>
                <w:rFonts w:ascii="宋体" w:hAnsi="宋体" w:cs="宋体"/>
                <w:color w:val="000000" w:themeColor="text1"/>
                <w:spacing w:val="8"/>
                <w:kern w:val="0"/>
                <w:sz w:val="18"/>
                <w:szCs w:val="18"/>
                <w14:textFill>
                  <w14:solidFill>
                    <w14:schemeClr w14:val="tx1"/>
                  </w14:solidFill>
                </w14:textFill>
              </w:rPr>
              <w:t xml:space="preserve"> 篇</w:t>
            </w:r>
            <w:r>
              <w:rPr>
                <w:rFonts w:hint="eastAsia" w:ascii="宋体" w:hAnsi="宋体" w:cs="宋体"/>
                <w:color w:val="000000" w:themeColor="text1"/>
                <w:spacing w:val="8"/>
                <w:kern w:val="0"/>
                <w:sz w:val="18"/>
                <w:szCs w:val="18"/>
                <w14:textFill>
                  <w14:solidFill>
                    <w14:schemeClr w14:val="tx1"/>
                  </w14:solidFill>
                </w14:textFill>
              </w:rPr>
              <w:t>（中文核心以上4篇）</w:t>
            </w:r>
            <w:r>
              <w:rPr>
                <w:rFonts w:ascii="宋体" w:hAnsi="宋体" w:cs="宋体"/>
                <w:color w:val="000000" w:themeColor="text1"/>
                <w:spacing w:val="8"/>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2.承办学术交流活动不少于 1 场。</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申请实用新型专利3项，发明专利1项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26" w:hRule="atLeast"/>
          <w:jc w:val="center"/>
        </w:trPr>
        <w:tc>
          <w:tcPr>
            <w:tcW w:w="968" w:type="dxa"/>
            <w:tcBorders>
              <w:left w:val="single" w:color="000000" w:sz="10" w:space="0"/>
              <w:bottom w:val="single" w:color="000000" w:sz="10" w:space="0"/>
            </w:tcBorders>
            <w:vAlign w:val="center"/>
          </w:tcPr>
          <w:p>
            <w:pPr>
              <w:spacing w:before="30" w:line="239" w:lineRule="auto"/>
              <w:ind w:right="35"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7.校园</w:t>
            </w:r>
          </w:p>
          <w:p>
            <w:pPr>
              <w:spacing w:before="30" w:line="239" w:lineRule="auto"/>
              <w:ind w:right="35"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文化</w:t>
            </w:r>
          </w:p>
        </w:tc>
        <w:tc>
          <w:tcPr>
            <w:tcW w:w="2409" w:type="dxa"/>
            <w:tcBorders>
              <w:bottom w:val="single" w:color="000000" w:sz="10" w:space="0"/>
            </w:tcBorders>
          </w:tcPr>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 xml:space="preserve">1.配合做好核心理念设计制作，开展质量文化核心理念教育。     </w:t>
            </w:r>
          </w:p>
          <w:p>
            <w:pPr>
              <w:spacing w:line="280" w:lineRule="exact"/>
              <w:ind w:firstLine="0" w:firstLineChars="0"/>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 按照学校统一要求开展文明园创建活动。</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w:t>
            </w:r>
            <w:r>
              <w:rPr>
                <w:rFonts w:hint="eastAsia" w:ascii="宋体" w:hAnsi="宋体" w:cs="宋体"/>
                <w:color w:val="000000" w:themeColor="text1"/>
                <w:spacing w:val="8"/>
                <w:kern w:val="0"/>
                <w:sz w:val="18"/>
                <w:szCs w:val="18"/>
                <w14:textFill>
                  <w14:solidFill>
                    <w14:schemeClr w14:val="tx1"/>
                  </w14:solidFill>
                </w14:textFill>
              </w:rPr>
              <w:t>、成立电子技术兴趣小组</w:t>
            </w:r>
            <w:r>
              <w:rPr>
                <w:rFonts w:ascii="宋体" w:hAnsi="宋体" w:cs="宋体"/>
                <w:color w:val="000000" w:themeColor="text1"/>
                <w:spacing w:val="8"/>
                <w:kern w:val="0"/>
                <w:sz w:val="18"/>
                <w:szCs w:val="18"/>
                <w14:textFill>
                  <w14:solidFill>
                    <w14:schemeClr w14:val="tx1"/>
                  </w14:solidFill>
                </w14:textFill>
              </w:rPr>
              <w:t xml:space="preserve">    </w:t>
            </w:r>
          </w:p>
        </w:tc>
        <w:tc>
          <w:tcPr>
            <w:tcW w:w="2977" w:type="dxa"/>
            <w:tcBorders>
              <w:bottom w:val="single" w:color="000000" w:sz="10" w:space="0"/>
            </w:tcBorders>
          </w:tcPr>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 xml:space="preserve">1.配合做好核心理念设计制作，开展质量文化核心理念教育。     </w:t>
            </w:r>
          </w:p>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 按照学校统一要求开展文明 园创建活动。</w:t>
            </w:r>
          </w:p>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w:t>
            </w:r>
            <w:r>
              <w:rPr>
                <w:rFonts w:hint="eastAsia" w:ascii="宋体" w:hAnsi="宋体" w:cs="宋体"/>
                <w:color w:val="000000" w:themeColor="text1"/>
                <w:spacing w:val="8"/>
                <w:kern w:val="0"/>
                <w:sz w:val="18"/>
                <w:szCs w:val="18"/>
                <w14:textFill>
                  <w14:solidFill>
                    <w14:schemeClr w14:val="tx1"/>
                  </w14:solidFill>
                </w14:textFill>
              </w:rPr>
              <w:t>、开展兴趣小组课余电子制作</w:t>
            </w:r>
          </w:p>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4</w:t>
            </w:r>
            <w:r>
              <w:rPr>
                <w:rFonts w:hint="eastAsia" w:ascii="宋体" w:hAnsi="宋体" w:cs="宋体"/>
                <w:color w:val="000000" w:themeColor="text1"/>
                <w:spacing w:val="8"/>
                <w:kern w:val="0"/>
                <w:sz w:val="18"/>
                <w:szCs w:val="18"/>
                <w14:textFill>
                  <w14:solidFill>
                    <w14:schemeClr w14:val="tx1"/>
                  </w14:solidFill>
                </w14:textFill>
              </w:rPr>
              <w:t>、开展校级电子设计比赛1次</w:t>
            </w:r>
            <w:r>
              <w:rPr>
                <w:rFonts w:ascii="宋体" w:hAnsi="宋体" w:cs="宋体"/>
                <w:color w:val="000000" w:themeColor="text1"/>
                <w:spacing w:val="8"/>
                <w:kern w:val="0"/>
                <w:sz w:val="18"/>
                <w:szCs w:val="18"/>
                <w14:textFill>
                  <w14:solidFill>
                    <w14:schemeClr w14:val="tx1"/>
                  </w14:solidFill>
                </w14:textFill>
              </w:rPr>
              <w:t xml:space="preserve">             </w:t>
            </w:r>
          </w:p>
        </w:tc>
        <w:tc>
          <w:tcPr>
            <w:tcW w:w="2835" w:type="dxa"/>
            <w:tcBorders>
              <w:bottom w:val="single" w:color="000000" w:sz="10" w:space="0"/>
            </w:tcBorders>
          </w:tcPr>
          <w:p>
            <w:pPr>
              <w:spacing w:before="30" w:line="239" w:lineRule="auto"/>
              <w:ind w:right="35" w:firstLine="0" w:firstLineChars="0"/>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1.</w:t>
            </w:r>
            <w:r>
              <w:rPr>
                <w:rFonts w:ascii="宋体" w:hAnsi="宋体" w:cs="宋体"/>
                <w:color w:val="000000" w:themeColor="text1"/>
                <w:spacing w:val="8"/>
                <w:kern w:val="0"/>
                <w:sz w:val="18"/>
                <w:szCs w:val="18"/>
                <w14:textFill>
                  <w14:solidFill>
                    <w14:schemeClr w14:val="tx1"/>
                  </w14:solidFill>
                </w14:textFill>
              </w:rPr>
              <w:t>按照学校统一要求开展文明校 园创建活动。</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.全年组织科技、文化、艺术等讲堂不少于 1 场。</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3组织校级电子设计比赛1次</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4、组织学生进行电子行业市场调查，撰写调查报告。</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5、组织学生开展社会实践活动</w:t>
            </w:r>
          </w:p>
        </w:tc>
        <w:tc>
          <w:tcPr>
            <w:tcW w:w="2890" w:type="dxa"/>
            <w:tcBorders>
              <w:bottom w:val="single" w:color="000000" w:sz="10" w:space="0"/>
            </w:tcBorders>
          </w:tcPr>
          <w:p>
            <w:pPr>
              <w:spacing w:before="30" w:line="239" w:lineRule="auto"/>
              <w:ind w:right="35"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1</w:t>
            </w:r>
            <w:r>
              <w:rPr>
                <w:rFonts w:ascii="宋体" w:hAnsi="宋体" w:cs="宋体"/>
                <w:color w:val="000000" w:themeColor="text1"/>
                <w:spacing w:val="8"/>
                <w:kern w:val="0"/>
                <w:sz w:val="18"/>
                <w:szCs w:val="18"/>
                <w14:textFill>
                  <w14:solidFill>
                    <w14:schemeClr w14:val="tx1"/>
                  </w14:solidFill>
                </w14:textFill>
              </w:rPr>
              <w:t xml:space="preserve">.按照学校统一要求开展文明 校园创建活动。             </w:t>
            </w: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 xml:space="preserve">.按照质量提升螺旋流程，完成质量文化新一轮理念更新和提 升。                       </w:t>
            </w:r>
            <w:r>
              <w:rPr>
                <w:rFonts w:hint="eastAsia" w:ascii="宋体" w:hAnsi="宋体" w:cs="宋体"/>
                <w:color w:val="000000" w:themeColor="text1"/>
                <w:spacing w:val="8"/>
                <w:kern w:val="0"/>
                <w:sz w:val="18"/>
                <w:szCs w:val="18"/>
                <w14:textFill>
                  <w14:solidFill>
                    <w14:schemeClr w14:val="tx1"/>
                  </w14:solidFill>
                </w14:textFill>
              </w:rPr>
              <w:t>3</w:t>
            </w:r>
            <w:r>
              <w:rPr>
                <w:rFonts w:ascii="宋体" w:hAnsi="宋体" w:cs="宋体"/>
                <w:color w:val="000000" w:themeColor="text1"/>
                <w:spacing w:val="8"/>
                <w:kern w:val="0"/>
                <w:sz w:val="18"/>
                <w:szCs w:val="18"/>
                <w14:textFill>
                  <w14:solidFill>
                    <w14:schemeClr w14:val="tx1"/>
                  </w14:solidFill>
                </w14:textFill>
              </w:rPr>
              <w:t>.全面开展全国文明校园创建 活动。</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4、继续组织校级电子设计比赛1次。</w:t>
            </w:r>
          </w:p>
        </w:tc>
        <w:tc>
          <w:tcPr>
            <w:tcW w:w="2835" w:type="dxa"/>
            <w:tcBorders>
              <w:bottom w:val="single" w:color="000000" w:sz="10" w:space="0"/>
              <w:right w:val="single" w:color="000000" w:sz="10" w:space="0"/>
            </w:tcBorders>
          </w:tcPr>
          <w:p>
            <w:pPr>
              <w:spacing w:before="30" w:line="239" w:lineRule="auto"/>
              <w:ind w:left="113" w:right="35" w:firstLine="0" w:firstLineChars="0"/>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 结合各类传统节日和重大纪念日，组织学生开展优秀传统文化教育、革命英雄主义教育，按照要求开展听思政课活动，深入开展德育教育活动。</w:t>
            </w:r>
          </w:p>
          <w:p>
            <w:pPr>
              <w:spacing w:before="30" w:line="239" w:lineRule="auto"/>
              <w:ind w:right="35" w:firstLine="0" w:firstLineChars="0"/>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2.开展</w:t>
            </w:r>
            <w:r>
              <w:rPr>
                <w:rFonts w:hint="eastAsia" w:ascii="宋体" w:hAnsi="宋体" w:cs="宋体"/>
                <w:color w:val="000000" w:themeColor="text1"/>
                <w:spacing w:val="8"/>
                <w:kern w:val="0"/>
                <w:sz w:val="18"/>
                <w:szCs w:val="18"/>
                <w14:textFill>
                  <w14:solidFill>
                    <w14:schemeClr w14:val="tx1"/>
                  </w14:solidFill>
                </w14:textFill>
              </w:rPr>
              <w:t>智能制造</w:t>
            </w:r>
            <w:r>
              <w:rPr>
                <w:rFonts w:ascii="宋体" w:hAnsi="宋体" w:cs="宋体"/>
                <w:color w:val="000000" w:themeColor="text1"/>
                <w:spacing w:val="8"/>
                <w:kern w:val="0"/>
                <w:sz w:val="18"/>
                <w:szCs w:val="18"/>
                <w14:textFill>
                  <w14:solidFill>
                    <w14:schemeClr w14:val="tx1"/>
                  </w14:solidFill>
                </w14:textFill>
              </w:rPr>
              <w:t xml:space="preserve">企业文化进校园活动。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 按照学校统一要求开展文明校园创建活动。</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承办江西省电子设计大赛1次</w:t>
            </w:r>
          </w:p>
        </w:tc>
      </w:tr>
      <w:bookmarkEnd w:id="33"/>
    </w:tbl>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sectPr>
          <w:pgSz w:w="16839" w:h="11906" w:orient="landscape"/>
          <w:pgMar w:top="1012" w:right="993" w:bottom="1418" w:left="1276" w:header="0" w:footer="0" w:gutter="0"/>
          <w:cols w:space="720" w:num="1"/>
          <w:docGrid w:linePitch="326" w:charSpace="0"/>
        </w:sectPr>
      </w:pPr>
    </w:p>
    <w:p>
      <w:pPr>
        <w:pStyle w:val="5"/>
        <w:spacing w:before="40" w:line="364" w:lineRule="auto"/>
        <w:ind w:left="122" w:right="263" w:firstLine="444"/>
        <w:rPr>
          <w:spacing w:val="-9"/>
        </w:rPr>
      </w:pPr>
      <w:r>
        <w:rPr>
          <w:rFonts w:hint="eastAsia"/>
          <w:spacing w:val="-9"/>
        </w:rPr>
        <w:t>2021-2025 年电子信息工程技术专业每年计划平均投入经费 70 万元，五年共计投入经费 350 万元，主要用于校内实训基地建设、师资队伍建设、课程资源建设等。</w:t>
      </w:r>
    </w:p>
    <w:p>
      <w:pPr>
        <w:pStyle w:val="5"/>
        <w:spacing w:after="0"/>
        <w:ind w:firstLine="0" w:firstLineChars="0"/>
        <w:jc w:val="center"/>
        <w:rPr>
          <w:rFonts w:hint="eastAsia"/>
          <w:b/>
          <w:bCs/>
        </w:rPr>
      </w:pPr>
      <w:r>
        <w:rPr>
          <w:rFonts w:hint="eastAsia"/>
          <w:b/>
          <w:bCs/>
        </w:rPr>
        <w:t>表2</w:t>
      </w:r>
      <w:r>
        <w:rPr>
          <w:b/>
          <w:bCs/>
        </w:rPr>
        <w:t xml:space="preserve">  </w:t>
      </w:r>
      <w:r>
        <w:rPr>
          <w:rFonts w:hint="eastAsia"/>
          <w:b/>
          <w:bCs/>
        </w:rPr>
        <w:t>电子信息工程技术专业</w:t>
      </w:r>
      <w:r>
        <w:rPr>
          <w:b/>
          <w:bCs/>
        </w:rPr>
        <w:t>建设经费投入计划</w:t>
      </w:r>
    </w:p>
    <w:tbl>
      <w:tblPr>
        <w:tblStyle w:val="12"/>
        <w:tblpPr w:leftFromText="180" w:rightFromText="180" w:vertAnchor="text" w:horzAnchor="page" w:tblpXSpec="center" w:tblpY="301"/>
        <w:tblOverlap w:val="never"/>
        <w:tblW w:w="948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2790"/>
        <w:gridCol w:w="1125"/>
        <w:gridCol w:w="850"/>
        <w:gridCol w:w="850"/>
        <w:gridCol w:w="850"/>
        <w:gridCol w:w="850"/>
        <w:gridCol w:w="10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1090" w:type="dxa"/>
            <w:tcBorders>
              <w:bottom w:val="nil"/>
            </w:tcBorders>
          </w:tcPr>
          <w:p>
            <w:pPr>
              <w:pStyle w:val="26"/>
              <w:spacing w:before="9" w:line="299" w:lineRule="exact"/>
              <w:ind w:left="278" w:right="269"/>
              <w:rPr>
                <w:rFonts w:ascii="黑体" w:hAnsi="黑体" w:eastAsia="黑体"/>
                <w:b/>
                <w:sz w:val="21"/>
                <w:szCs w:val="21"/>
              </w:rPr>
            </w:pPr>
            <w:r>
              <w:rPr>
                <w:rFonts w:hint="eastAsia" w:ascii="黑体" w:hAnsi="黑体" w:eastAsia="黑体"/>
                <w:b/>
                <w:sz w:val="21"/>
                <w:szCs w:val="21"/>
              </w:rPr>
              <w:t>建设</w:t>
            </w:r>
          </w:p>
        </w:tc>
        <w:tc>
          <w:tcPr>
            <w:tcW w:w="2790" w:type="dxa"/>
            <w:vMerge w:val="restart"/>
          </w:tcPr>
          <w:p>
            <w:pPr>
              <w:pStyle w:val="26"/>
              <w:spacing w:before="185"/>
              <w:ind w:firstLine="527" w:firstLineChars="250"/>
              <w:rPr>
                <w:rFonts w:ascii="黑体" w:hAnsi="黑体" w:eastAsia="黑体"/>
                <w:b/>
                <w:sz w:val="21"/>
                <w:szCs w:val="21"/>
              </w:rPr>
            </w:pPr>
            <w:r>
              <w:rPr>
                <w:rFonts w:hint="eastAsia" w:ascii="黑体" w:hAnsi="黑体" w:eastAsia="黑体"/>
                <w:b/>
                <w:sz w:val="21"/>
                <w:szCs w:val="21"/>
              </w:rPr>
              <w:t>具体建设任务</w:t>
            </w:r>
          </w:p>
        </w:tc>
        <w:tc>
          <w:tcPr>
            <w:tcW w:w="1125" w:type="dxa"/>
            <w:vMerge w:val="restart"/>
          </w:tcPr>
          <w:p>
            <w:pPr>
              <w:pStyle w:val="26"/>
              <w:spacing w:before="185"/>
              <w:ind w:left="176"/>
              <w:rPr>
                <w:rFonts w:ascii="黑体" w:hAnsi="黑体" w:eastAsia="黑体"/>
                <w:b/>
                <w:sz w:val="21"/>
                <w:szCs w:val="21"/>
              </w:rPr>
            </w:pPr>
            <w:r>
              <w:rPr>
                <w:rFonts w:hint="eastAsia" w:ascii="黑体" w:hAnsi="黑体" w:eastAsia="黑体"/>
                <w:b/>
                <w:sz w:val="21"/>
                <w:szCs w:val="21"/>
              </w:rPr>
              <w:t>负责人</w:t>
            </w:r>
          </w:p>
        </w:tc>
        <w:tc>
          <w:tcPr>
            <w:tcW w:w="4483" w:type="dxa"/>
            <w:gridSpan w:val="5"/>
            <w:tcBorders>
              <w:right w:val="single" w:color="auto" w:sz="4" w:space="0"/>
            </w:tcBorders>
          </w:tcPr>
          <w:p>
            <w:pPr>
              <w:pStyle w:val="26"/>
              <w:spacing w:before="9" w:line="299" w:lineRule="exact"/>
              <w:ind w:left="649" w:firstLine="482"/>
              <w:rPr>
                <w:rFonts w:ascii="黑体" w:hAnsi="黑体" w:eastAsia="黑体"/>
                <w:b/>
                <w:sz w:val="21"/>
                <w:szCs w:val="21"/>
              </w:rPr>
            </w:pPr>
            <w:r>
              <w:rPr>
                <w:rFonts w:hint="eastAsia" w:ascii="黑体" w:hAnsi="黑体" w:eastAsia="黑体"/>
                <w:b/>
                <w:sz w:val="21"/>
                <w:szCs w:val="21"/>
              </w:rPr>
              <w:t>投入金额（万元）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90" w:type="dxa"/>
            <w:tcBorders>
              <w:top w:val="nil"/>
            </w:tcBorders>
          </w:tcPr>
          <w:p>
            <w:pPr>
              <w:pStyle w:val="26"/>
              <w:spacing w:before="11" w:line="299" w:lineRule="exact"/>
              <w:ind w:left="278" w:right="269"/>
              <w:rPr>
                <w:rFonts w:ascii="黑体" w:hAnsi="黑体" w:eastAsia="黑体"/>
                <w:b/>
                <w:sz w:val="21"/>
                <w:szCs w:val="21"/>
              </w:rPr>
            </w:pPr>
            <w:r>
              <w:rPr>
                <w:rFonts w:hint="eastAsia" w:ascii="黑体" w:hAnsi="黑体" w:eastAsia="黑体"/>
                <w:b/>
                <w:sz w:val="21"/>
                <w:szCs w:val="21"/>
              </w:rPr>
              <w:t>项目</w:t>
            </w:r>
          </w:p>
        </w:tc>
        <w:tc>
          <w:tcPr>
            <w:tcW w:w="2790" w:type="dxa"/>
            <w:vMerge w:val="continue"/>
            <w:tcBorders>
              <w:top w:val="nil"/>
            </w:tcBorders>
          </w:tcPr>
          <w:p>
            <w:pPr>
              <w:ind w:firstLine="420"/>
              <w:jc w:val="left"/>
              <w:rPr>
                <w:rFonts w:ascii="黑体" w:hAnsi="黑体" w:eastAsia="黑体"/>
                <w:sz w:val="21"/>
                <w:szCs w:val="21"/>
              </w:rPr>
            </w:pPr>
          </w:p>
        </w:tc>
        <w:tc>
          <w:tcPr>
            <w:tcW w:w="1125" w:type="dxa"/>
            <w:vMerge w:val="continue"/>
            <w:tcBorders>
              <w:top w:val="nil"/>
            </w:tcBorders>
          </w:tcPr>
          <w:p>
            <w:pPr>
              <w:ind w:firstLine="420"/>
              <w:jc w:val="left"/>
              <w:rPr>
                <w:rFonts w:ascii="黑体" w:hAnsi="黑体" w:eastAsia="黑体"/>
                <w:sz w:val="21"/>
                <w:szCs w:val="21"/>
              </w:rPr>
            </w:pPr>
          </w:p>
        </w:tc>
        <w:tc>
          <w:tcPr>
            <w:tcW w:w="850"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ascii="黑体" w:hAnsi="黑体" w:eastAsia="黑体" w:cs="Times New Roman"/>
                <w:b/>
                <w:bCs/>
                <w:sz w:val="21"/>
                <w:szCs w:val="21"/>
              </w:rPr>
              <w:t>20</w:t>
            </w:r>
            <w:r>
              <w:rPr>
                <w:rFonts w:hint="eastAsia" w:ascii="黑体" w:hAnsi="黑体" w:eastAsia="黑体" w:cs="Times New Roman"/>
                <w:b/>
                <w:bCs/>
                <w:sz w:val="21"/>
                <w:szCs w:val="21"/>
              </w:rPr>
              <w:t>21</w:t>
            </w:r>
          </w:p>
        </w:tc>
        <w:tc>
          <w:tcPr>
            <w:tcW w:w="850"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ascii="黑体" w:hAnsi="黑体" w:eastAsia="黑体" w:cs="Times New Roman"/>
                <w:b/>
                <w:bCs/>
                <w:sz w:val="21"/>
                <w:szCs w:val="21"/>
              </w:rPr>
              <w:t>20</w:t>
            </w:r>
            <w:r>
              <w:rPr>
                <w:rFonts w:hint="eastAsia" w:ascii="黑体" w:hAnsi="黑体" w:eastAsia="黑体" w:cs="Times New Roman"/>
                <w:b/>
                <w:bCs/>
                <w:sz w:val="21"/>
                <w:szCs w:val="21"/>
              </w:rPr>
              <w:t>22</w:t>
            </w:r>
          </w:p>
        </w:tc>
        <w:tc>
          <w:tcPr>
            <w:tcW w:w="850"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ascii="黑体" w:hAnsi="黑体" w:eastAsia="黑体" w:cs="Times New Roman"/>
                <w:b/>
                <w:bCs/>
                <w:sz w:val="21"/>
                <w:szCs w:val="21"/>
              </w:rPr>
              <w:t>202</w:t>
            </w:r>
            <w:r>
              <w:rPr>
                <w:rFonts w:hint="eastAsia" w:ascii="黑体" w:hAnsi="黑体" w:eastAsia="黑体" w:cs="Times New Roman"/>
                <w:b/>
                <w:bCs/>
                <w:sz w:val="21"/>
                <w:szCs w:val="21"/>
              </w:rPr>
              <w:t>3</w:t>
            </w:r>
          </w:p>
        </w:tc>
        <w:tc>
          <w:tcPr>
            <w:tcW w:w="850"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hint="eastAsia" w:ascii="黑体" w:hAnsi="黑体" w:eastAsia="黑体" w:cs="Times New Roman"/>
                <w:b/>
                <w:bCs/>
                <w:sz w:val="21"/>
                <w:szCs w:val="21"/>
              </w:rPr>
              <w:t>2024</w:t>
            </w:r>
          </w:p>
        </w:tc>
        <w:tc>
          <w:tcPr>
            <w:tcW w:w="1083"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hint="eastAsia" w:ascii="黑体" w:hAnsi="黑体" w:eastAsia="黑体" w:cs="Times New Roman"/>
                <w:b/>
                <w:bCs/>
                <w:sz w:val="21"/>
                <w:szCs w:val="21"/>
              </w:rPr>
              <w:t>2025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2" w:hRule="atLeast"/>
        </w:trPr>
        <w:tc>
          <w:tcPr>
            <w:tcW w:w="1090" w:type="dxa"/>
            <w:vMerge w:val="restart"/>
            <w:textDirection w:val="tbRlV"/>
            <w:vAlign w:val="center"/>
          </w:tcPr>
          <w:p>
            <w:pPr>
              <w:pStyle w:val="26"/>
              <w:spacing w:line="242" w:lineRule="auto"/>
              <w:ind w:left="113" w:right="408"/>
              <w:jc w:val="center"/>
              <w:rPr>
                <w:rFonts w:ascii="Times New Roman" w:hAnsi="Times New Roman" w:cs="Times New Roman"/>
                <w:b/>
                <w:sz w:val="21"/>
                <w:szCs w:val="21"/>
              </w:rPr>
            </w:pPr>
            <w:r>
              <w:rPr>
                <w:rFonts w:ascii="Times New Roman" w:hAnsi="Times New Roman" w:cs="Times New Roman"/>
                <w:b/>
                <w:sz w:val="21"/>
                <w:szCs w:val="21"/>
              </w:rPr>
              <w:t>人才培养模式改革</w:t>
            </w:r>
          </w:p>
        </w:tc>
        <w:tc>
          <w:tcPr>
            <w:tcW w:w="2790" w:type="dxa"/>
            <w:vAlign w:val="center"/>
          </w:tcPr>
          <w:p>
            <w:pPr>
              <w:pStyle w:val="26"/>
              <w:spacing w:before="87" w:line="278" w:lineRule="auto"/>
              <w:ind w:right="87"/>
              <w:rPr>
                <w:rFonts w:ascii="Times New Roman" w:hAnsi="Times New Roman" w:cs="Times New Roman"/>
                <w:sz w:val="21"/>
                <w:szCs w:val="21"/>
              </w:rPr>
            </w:pPr>
            <w:r>
              <w:rPr>
                <w:rFonts w:ascii="Times New Roman" w:hAnsi="Times New Roman" w:cs="Times New Roman"/>
                <w:sz w:val="21"/>
                <w:szCs w:val="21"/>
              </w:rPr>
              <w:t>服务国家战略，不断优化专业群设置</w:t>
            </w:r>
          </w:p>
        </w:tc>
        <w:tc>
          <w:tcPr>
            <w:tcW w:w="1125" w:type="dxa"/>
            <w:vAlign w:val="center"/>
          </w:tcPr>
          <w:p>
            <w:pPr>
              <w:pStyle w:val="26"/>
              <w:ind w:right="191"/>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1083" w:type="dxa"/>
            <w:tcBorders>
              <w:top w:val="single" w:color="auto" w:sz="8" w:space="0"/>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4"/>
              <w:rPr>
                <w:rFonts w:ascii="Times New Roman" w:hAnsi="Times New Roman" w:cs="Times New Roman"/>
                <w:sz w:val="21"/>
                <w:szCs w:val="21"/>
              </w:rPr>
            </w:pPr>
            <w:r>
              <w:rPr>
                <w:rFonts w:ascii="Times New Roman" w:hAnsi="Times New Roman" w:cs="Times New Roman"/>
                <w:sz w:val="21"/>
                <w:szCs w:val="21"/>
              </w:rPr>
              <w:t>开展专业调研，形成调研报告</w:t>
            </w:r>
          </w:p>
        </w:tc>
        <w:tc>
          <w:tcPr>
            <w:tcW w:w="1125" w:type="dxa"/>
            <w:vAlign w:val="center"/>
          </w:tcPr>
          <w:p>
            <w:pPr>
              <w:pStyle w:val="26"/>
              <w:spacing w:before="104"/>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4"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参考国家教学标准制定人才培养方案</w:t>
            </w:r>
          </w:p>
        </w:tc>
        <w:tc>
          <w:tcPr>
            <w:tcW w:w="1125" w:type="dxa"/>
            <w:vAlign w:val="center"/>
          </w:tcPr>
          <w:p>
            <w:pPr>
              <w:pStyle w:val="26"/>
              <w:spacing w:before="1"/>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1"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line="278" w:lineRule="auto"/>
              <w:ind w:right="87"/>
              <w:rPr>
                <w:rFonts w:ascii="Times New Roman" w:hAnsi="Times New Roman" w:cs="Times New Roman"/>
                <w:sz w:val="21"/>
                <w:szCs w:val="21"/>
              </w:rPr>
            </w:pPr>
            <w:r>
              <w:rPr>
                <w:rFonts w:ascii="Times New Roman" w:hAnsi="Times New Roman" w:cs="Times New Roman"/>
                <w:sz w:val="21"/>
                <w:szCs w:val="21"/>
              </w:rPr>
              <w:t>对接国家技能等级证书，实现书证融通</w:t>
            </w:r>
          </w:p>
        </w:tc>
        <w:tc>
          <w:tcPr>
            <w:tcW w:w="1125" w:type="dxa"/>
            <w:vAlign w:val="center"/>
          </w:tcPr>
          <w:p>
            <w:pPr>
              <w:pStyle w:val="26"/>
              <w:ind w:right="191"/>
              <w:jc w:val="center"/>
              <w:rPr>
                <w:rFonts w:ascii="Times New Roman" w:hAnsi="Times New Roman" w:cs="Times New Roman"/>
                <w:sz w:val="21"/>
                <w:szCs w:val="21"/>
              </w:rPr>
            </w:pPr>
            <w:r>
              <w:rPr>
                <w:rFonts w:hint="eastAsia" w:ascii="Times New Roman" w:hAnsi="Times New Roman" w:cs="Times New Roman"/>
                <w:sz w:val="21"/>
                <w:szCs w:val="21"/>
              </w:rPr>
              <w:t>方安安</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0.4</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rPr>
                <w:rFonts w:ascii="Times New Roman" w:hAnsi="Times New Roman" w:cs="Times New Roman"/>
                <w:sz w:val="21"/>
                <w:szCs w:val="21"/>
              </w:rPr>
            </w:pPr>
            <w:r>
              <w:rPr>
                <w:rFonts w:ascii="Times New Roman" w:hAnsi="Times New Roman" w:cs="Times New Roman"/>
                <w:sz w:val="21"/>
                <w:szCs w:val="21"/>
              </w:rPr>
              <w:t>改革与完善现有人才培养模式</w:t>
            </w:r>
          </w:p>
        </w:tc>
        <w:tc>
          <w:tcPr>
            <w:tcW w:w="1125" w:type="dxa"/>
            <w:vAlign w:val="center"/>
          </w:tcPr>
          <w:p>
            <w:pPr>
              <w:pStyle w:val="26"/>
              <w:spacing w:before="106"/>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rPr>
                <w:rFonts w:ascii="Times New Roman" w:hAnsi="Times New Roman" w:cs="Times New Roman"/>
                <w:sz w:val="21"/>
                <w:szCs w:val="21"/>
              </w:rPr>
            </w:pPr>
            <w:r>
              <w:rPr>
                <w:rFonts w:ascii="Times New Roman" w:hAnsi="Times New Roman" w:cs="Times New Roman"/>
                <w:sz w:val="21"/>
                <w:szCs w:val="21"/>
              </w:rPr>
              <w:t>进一步完善校企协同育人机制</w:t>
            </w:r>
          </w:p>
        </w:tc>
        <w:tc>
          <w:tcPr>
            <w:tcW w:w="1125" w:type="dxa"/>
            <w:vAlign w:val="center"/>
          </w:tcPr>
          <w:p>
            <w:pPr>
              <w:pStyle w:val="26"/>
              <w:spacing w:before="106"/>
              <w:ind w:right="191"/>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37"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1"/>
              <w:rPr>
                <w:rFonts w:ascii="Times New Roman" w:hAnsi="Times New Roman" w:cs="Times New Roman"/>
                <w:sz w:val="21"/>
                <w:szCs w:val="21"/>
              </w:rPr>
            </w:pPr>
            <w:r>
              <w:rPr>
                <w:rFonts w:ascii="Times New Roman" w:hAnsi="Times New Roman" w:cs="Times New Roman"/>
                <w:sz w:val="21"/>
                <w:szCs w:val="21"/>
              </w:rPr>
              <w:t>提升合作企业层次，校企深度</w:t>
            </w:r>
          </w:p>
          <w:p>
            <w:pPr>
              <w:pStyle w:val="26"/>
              <w:rPr>
                <w:rFonts w:ascii="Times New Roman" w:hAnsi="Times New Roman" w:cs="Times New Roman"/>
                <w:sz w:val="21"/>
                <w:szCs w:val="21"/>
              </w:rPr>
            </w:pPr>
            <w:r>
              <w:rPr>
                <w:rFonts w:ascii="Times New Roman" w:hAnsi="Times New Roman" w:cs="Times New Roman"/>
                <w:sz w:val="21"/>
                <w:szCs w:val="21"/>
              </w:rPr>
              <w:t>融合</w:t>
            </w:r>
          </w:p>
        </w:tc>
        <w:tc>
          <w:tcPr>
            <w:tcW w:w="1125" w:type="dxa"/>
            <w:vAlign w:val="center"/>
          </w:tcPr>
          <w:p>
            <w:pPr>
              <w:pStyle w:val="26"/>
              <w:ind w:right="191"/>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jc w:val="center"/>
              <w:rPr>
                <w:rFonts w:ascii="Times New Roman" w:hAnsi="Times New Roman" w:cs="Times New Roman"/>
                <w:sz w:val="21"/>
                <w:szCs w:val="21"/>
              </w:rPr>
            </w:pPr>
            <w:r>
              <w:rPr>
                <w:rFonts w:ascii="Times New Roman" w:hAnsi="Times New Roman" w:cs="Times New Roman"/>
                <w:sz w:val="21"/>
                <w:szCs w:val="21"/>
              </w:rPr>
              <w:t>招生与就业工作</w:t>
            </w:r>
          </w:p>
        </w:tc>
        <w:tc>
          <w:tcPr>
            <w:tcW w:w="1125" w:type="dxa"/>
            <w:vAlign w:val="center"/>
          </w:tcPr>
          <w:p>
            <w:pPr>
              <w:pStyle w:val="26"/>
              <w:spacing w:before="106"/>
              <w:ind w:right="191"/>
              <w:jc w:val="center"/>
              <w:rPr>
                <w:rFonts w:ascii="Times New Roman" w:hAnsi="Times New Roman" w:cs="Times New Roman"/>
                <w:sz w:val="21"/>
                <w:szCs w:val="21"/>
              </w:rPr>
            </w:pPr>
            <w:r>
              <w:rPr>
                <w:rFonts w:hint="eastAsia" w:ascii="Times New Roman" w:hAnsi="Times New Roman" w:cs="Times New Roman"/>
                <w:sz w:val="21"/>
                <w:szCs w:val="21"/>
              </w:rPr>
              <w:t>徐赟</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0.4</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0.4</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81"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1" w:line="278" w:lineRule="auto"/>
              <w:ind w:right="87"/>
              <w:rPr>
                <w:rFonts w:ascii="Times New Roman" w:hAnsi="Times New Roman" w:cs="Times New Roman"/>
                <w:sz w:val="21"/>
                <w:szCs w:val="21"/>
              </w:rPr>
            </w:pPr>
            <w:r>
              <w:rPr>
                <w:rFonts w:ascii="Times New Roman" w:hAnsi="Times New Roman" w:cs="Times New Roman"/>
                <w:sz w:val="21"/>
                <w:szCs w:val="21"/>
              </w:rPr>
              <w:t>每年实行校、省、国三级技能大赛制度</w:t>
            </w:r>
          </w:p>
        </w:tc>
        <w:tc>
          <w:tcPr>
            <w:tcW w:w="1125" w:type="dxa"/>
            <w:vAlign w:val="center"/>
          </w:tcPr>
          <w:p>
            <w:pPr>
              <w:pStyle w:val="26"/>
              <w:spacing w:before="106"/>
              <w:ind w:right="191"/>
              <w:jc w:val="center"/>
              <w:rPr>
                <w:rFonts w:hint="eastAsia" w:ascii="Times New Roman" w:hAnsi="Times New Roman" w:cs="Times New Roman"/>
                <w:sz w:val="21"/>
                <w:szCs w:val="21"/>
              </w:rPr>
            </w:pPr>
            <w:r>
              <w:rPr>
                <w:rFonts w:hint="eastAsia" w:ascii="Times New Roman" w:hAnsi="Times New Roman" w:cs="Times New Roman"/>
                <w:sz w:val="21"/>
                <w:szCs w:val="21"/>
              </w:rPr>
              <w:t>徐赟</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0.8</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jc w:val="center"/>
              <w:rPr>
                <w:rFonts w:ascii="Times New Roman" w:hAnsi="Times New Roman" w:cs="Times New Roman"/>
                <w:sz w:val="21"/>
                <w:szCs w:val="21"/>
              </w:rPr>
            </w:pPr>
            <w:r>
              <w:rPr>
                <w:rFonts w:ascii="Times New Roman" w:hAnsi="Times New Roman" w:cs="Times New Roman"/>
                <w:sz w:val="21"/>
                <w:szCs w:val="21"/>
              </w:rPr>
              <w:t>全国</w:t>
            </w:r>
            <w:r>
              <w:rPr>
                <w:rFonts w:hint="eastAsia" w:ascii="Times New Roman" w:hAnsi="Times New Roman" w:cs="Times New Roman"/>
                <w:sz w:val="21"/>
                <w:szCs w:val="21"/>
              </w:rPr>
              <w:t>大学生电子设计</w:t>
            </w:r>
            <w:r>
              <w:rPr>
                <w:rFonts w:ascii="Times New Roman" w:hAnsi="Times New Roman" w:cs="Times New Roman"/>
                <w:sz w:val="21"/>
                <w:szCs w:val="21"/>
              </w:rPr>
              <w:t>大赛</w:t>
            </w:r>
          </w:p>
        </w:tc>
        <w:tc>
          <w:tcPr>
            <w:tcW w:w="1125" w:type="dxa"/>
            <w:vAlign w:val="center"/>
          </w:tcPr>
          <w:p>
            <w:pPr>
              <w:pStyle w:val="26"/>
              <w:spacing w:before="106"/>
              <w:ind w:right="191"/>
              <w:jc w:val="center"/>
              <w:rPr>
                <w:rFonts w:ascii="Times New Roman" w:hAnsi="Times New Roman" w:cs="Times New Roman"/>
                <w:sz w:val="21"/>
                <w:szCs w:val="21"/>
              </w:rPr>
            </w:pPr>
            <w:r>
              <w:rPr>
                <w:rFonts w:hint="eastAsia" w:ascii="Times New Roman" w:hAnsi="Times New Roman" w:cs="Times New Roman"/>
                <w:sz w:val="21"/>
                <w:szCs w:val="21"/>
              </w:rPr>
              <w:t>方安安</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0.6</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4"/>
              <w:jc w:val="center"/>
              <w:rPr>
                <w:rFonts w:ascii="Times New Roman" w:hAnsi="Times New Roman" w:cs="Times New Roman"/>
                <w:sz w:val="21"/>
                <w:szCs w:val="21"/>
              </w:rPr>
            </w:pPr>
            <w:r>
              <w:rPr>
                <w:rFonts w:ascii="Times New Roman" w:hAnsi="Times New Roman" w:cs="Times New Roman"/>
                <w:sz w:val="21"/>
                <w:szCs w:val="21"/>
              </w:rPr>
              <w:t>取得创新创业成果</w:t>
            </w:r>
          </w:p>
        </w:tc>
        <w:tc>
          <w:tcPr>
            <w:tcW w:w="1125" w:type="dxa"/>
            <w:vAlign w:val="center"/>
          </w:tcPr>
          <w:p>
            <w:pPr>
              <w:pStyle w:val="26"/>
              <w:spacing w:before="104"/>
              <w:ind w:right="191"/>
              <w:jc w:val="center"/>
              <w:rPr>
                <w:rFonts w:ascii="Times New Roman" w:hAnsi="Times New Roman" w:cs="Times New Roman"/>
                <w:sz w:val="21"/>
                <w:szCs w:val="21"/>
              </w:rPr>
            </w:pPr>
            <w:r>
              <w:rPr>
                <w:rFonts w:hint="eastAsia" w:ascii="Times New Roman" w:hAnsi="Times New Roman" w:cs="Times New Roman"/>
                <w:sz w:val="21"/>
                <w:szCs w:val="21"/>
              </w:rPr>
              <w:t>方安安</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0.6</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1" w:hRule="atLeast"/>
        </w:trPr>
        <w:tc>
          <w:tcPr>
            <w:tcW w:w="1090" w:type="dxa"/>
            <w:vMerge w:val="restart"/>
            <w:vAlign w:val="center"/>
          </w:tcPr>
          <w:p>
            <w:pPr>
              <w:pStyle w:val="26"/>
              <w:spacing w:before="10"/>
              <w:ind w:firstLine="480"/>
              <w:jc w:val="center"/>
              <w:rPr>
                <w:rFonts w:ascii="Times New Roman" w:hAnsi="Times New Roman" w:cs="Times New Roman"/>
                <w:sz w:val="21"/>
                <w:szCs w:val="21"/>
              </w:rPr>
            </w:pPr>
          </w:p>
          <w:p>
            <w:pPr>
              <w:pStyle w:val="26"/>
              <w:spacing w:line="242" w:lineRule="auto"/>
              <w:ind w:left="297" w:right="286"/>
              <w:jc w:val="center"/>
              <w:rPr>
                <w:rFonts w:ascii="Times New Roman" w:hAnsi="Times New Roman" w:cs="Times New Roman"/>
                <w:b/>
                <w:sz w:val="21"/>
                <w:szCs w:val="21"/>
              </w:rPr>
            </w:pPr>
            <w:r>
              <w:rPr>
                <w:rFonts w:ascii="Times New Roman" w:hAnsi="Times New Roman" w:cs="Times New Roman"/>
                <w:b/>
                <w:spacing w:val="-8"/>
                <w:sz w:val="21"/>
                <w:szCs w:val="21"/>
              </w:rPr>
              <w:t>教学改革</w:t>
            </w:r>
            <w:r>
              <w:rPr>
                <w:rFonts w:ascii="Times New Roman" w:hAnsi="Times New Roman" w:cs="Times New Roman"/>
                <w:b/>
                <w:sz w:val="21"/>
                <w:szCs w:val="21"/>
              </w:rPr>
              <w:t>与</w:t>
            </w:r>
          </w:p>
          <w:p>
            <w:pPr>
              <w:pStyle w:val="26"/>
              <w:spacing w:line="242" w:lineRule="auto"/>
              <w:ind w:left="297" w:right="286"/>
              <w:jc w:val="center"/>
              <w:rPr>
                <w:rFonts w:ascii="Times New Roman" w:hAnsi="Times New Roman" w:cs="Times New Roman"/>
                <w:b/>
                <w:sz w:val="21"/>
                <w:szCs w:val="21"/>
              </w:rPr>
            </w:pPr>
            <w:r>
              <w:rPr>
                <w:rFonts w:ascii="Times New Roman" w:hAnsi="Times New Roman" w:cs="Times New Roman"/>
                <w:b/>
                <w:spacing w:val="-8"/>
                <w:sz w:val="21"/>
                <w:szCs w:val="21"/>
              </w:rPr>
              <w:t>资源建设</w:t>
            </w:r>
          </w:p>
        </w:tc>
        <w:tc>
          <w:tcPr>
            <w:tcW w:w="2790" w:type="dxa"/>
            <w:vAlign w:val="center"/>
          </w:tcPr>
          <w:p>
            <w:pPr>
              <w:pStyle w:val="26"/>
              <w:spacing w:line="278" w:lineRule="auto"/>
              <w:ind w:right="87"/>
              <w:rPr>
                <w:rFonts w:ascii="Times New Roman" w:hAnsi="Times New Roman" w:cs="Times New Roman"/>
                <w:sz w:val="21"/>
                <w:szCs w:val="21"/>
              </w:rPr>
            </w:pPr>
            <w:r>
              <w:rPr>
                <w:rFonts w:ascii="Times New Roman" w:hAnsi="Times New Roman" w:cs="Times New Roman"/>
                <w:sz w:val="21"/>
                <w:szCs w:val="21"/>
              </w:rPr>
              <w:t>专业资源库及在线精品课程建设</w:t>
            </w:r>
          </w:p>
        </w:tc>
        <w:tc>
          <w:tcPr>
            <w:tcW w:w="1125" w:type="dxa"/>
            <w:vAlign w:val="center"/>
          </w:tcPr>
          <w:p>
            <w:pPr>
              <w:pStyle w:val="26"/>
              <w:spacing w:before="104"/>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10</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7.3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6</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95"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jc w:val="center"/>
              <w:rPr>
                <w:rFonts w:ascii="Times New Roman" w:hAnsi="Times New Roman" w:cs="Times New Roman"/>
                <w:sz w:val="21"/>
                <w:szCs w:val="21"/>
              </w:rPr>
            </w:pPr>
            <w:r>
              <w:rPr>
                <w:rFonts w:ascii="Times New Roman" w:hAnsi="Times New Roman" w:cs="Times New Roman"/>
                <w:sz w:val="21"/>
                <w:szCs w:val="21"/>
              </w:rPr>
              <w:t>校企合作新形态一体化教材</w:t>
            </w:r>
          </w:p>
        </w:tc>
        <w:tc>
          <w:tcPr>
            <w:tcW w:w="1125" w:type="dxa"/>
            <w:vAlign w:val="center"/>
          </w:tcPr>
          <w:p>
            <w:pPr>
              <w:pStyle w:val="26"/>
              <w:spacing w:before="1"/>
              <w:ind w:right="191"/>
              <w:jc w:val="center"/>
              <w:rPr>
                <w:rFonts w:ascii="Times New Roman" w:hAnsi="Times New Roman" w:cs="Times New Roman"/>
                <w:sz w:val="21"/>
                <w:szCs w:val="21"/>
              </w:rPr>
            </w:pPr>
            <w:r>
              <w:rPr>
                <w:rFonts w:hint="eastAsia" w:ascii="Times New Roman" w:hAnsi="Times New Roman" w:cs="Times New Roman"/>
                <w:sz w:val="21"/>
                <w:szCs w:val="21"/>
              </w:rPr>
              <w:t>刘百芬</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2" w:hRule="atLeast"/>
        </w:trPr>
        <w:tc>
          <w:tcPr>
            <w:tcW w:w="1090" w:type="dxa"/>
            <w:vMerge w:val="continue"/>
            <w:tcBorders>
              <w:top w:val="nil"/>
              <w:bottom w:val="single" w:color="auto" w:sz="4" w:space="0"/>
            </w:tcBorders>
          </w:tcPr>
          <w:p>
            <w:pPr>
              <w:ind w:firstLine="420"/>
              <w:jc w:val="left"/>
              <w:rPr>
                <w:rFonts w:ascii="Times New Roman" w:hAnsi="Times New Roman" w:cs="Times New Roman"/>
                <w:sz w:val="21"/>
                <w:szCs w:val="21"/>
              </w:rPr>
            </w:pPr>
          </w:p>
        </w:tc>
        <w:tc>
          <w:tcPr>
            <w:tcW w:w="2790" w:type="dxa"/>
            <w:vAlign w:val="center"/>
          </w:tcPr>
          <w:p>
            <w:pPr>
              <w:pStyle w:val="26"/>
              <w:spacing w:before="106"/>
              <w:jc w:val="center"/>
              <w:rPr>
                <w:rFonts w:ascii="Times New Roman" w:hAnsi="Times New Roman" w:cs="Times New Roman"/>
                <w:sz w:val="21"/>
                <w:szCs w:val="21"/>
              </w:rPr>
            </w:pPr>
            <w:r>
              <w:rPr>
                <w:rFonts w:ascii="Times New Roman" w:hAnsi="Times New Roman" w:cs="Times New Roman"/>
                <w:sz w:val="21"/>
                <w:szCs w:val="21"/>
              </w:rPr>
              <w:t>教学方法改革</w:t>
            </w:r>
          </w:p>
        </w:tc>
        <w:tc>
          <w:tcPr>
            <w:tcW w:w="1125" w:type="dxa"/>
            <w:vAlign w:val="center"/>
          </w:tcPr>
          <w:p>
            <w:pPr>
              <w:pStyle w:val="26"/>
              <w:spacing w:before="1"/>
              <w:ind w:right="191"/>
              <w:jc w:val="center"/>
              <w:rPr>
                <w:rFonts w:hint="eastAsia"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0.4</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488" w:hRule="atLeast"/>
        </w:trPr>
        <w:tc>
          <w:tcPr>
            <w:tcW w:w="1090" w:type="dxa"/>
            <w:vMerge w:val="restart"/>
            <w:tcBorders>
              <w:top w:val="single" w:color="auto" w:sz="4" w:space="0"/>
            </w:tcBorders>
            <w:textDirection w:val="tbRlV"/>
            <w:vAlign w:val="center"/>
          </w:tcPr>
          <w:p>
            <w:pPr>
              <w:pStyle w:val="26"/>
              <w:spacing w:line="242" w:lineRule="auto"/>
              <w:ind w:left="297" w:right="286"/>
              <w:jc w:val="center"/>
              <w:rPr>
                <w:rFonts w:ascii="Times New Roman" w:hAnsi="Times New Roman" w:cs="Times New Roman"/>
                <w:sz w:val="21"/>
                <w:szCs w:val="21"/>
              </w:rPr>
            </w:pPr>
            <w:r>
              <w:rPr>
                <w:rFonts w:ascii="Times New Roman" w:hAnsi="Times New Roman" w:cs="Times New Roman"/>
                <w:b/>
                <w:spacing w:val="-8"/>
                <w:sz w:val="21"/>
                <w:szCs w:val="21"/>
              </w:rPr>
              <w:t>师资队伍建设</w:t>
            </w: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培养专业带头人和骨干教师</w:t>
            </w:r>
          </w:p>
        </w:tc>
        <w:tc>
          <w:tcPr>
            <w:tcW w:w="1125" w:type="dxa"/>
            <w:vAlign w:val="center"/>
          </w:tcPr>
          <w:p>
            <w:pPr>
              <w:pStyle w:val="26"/>
              <w:spacing w:before="1"/>
              <w:ind w:right="191"/>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894" w:hRule="atLeast"/>
        </w:trPr>
        <w:tc>
          <w:tcPr>
            <w:tcW w:w="1090" w:type="dxa"/>
            <w:vMerge w:val="continue"/>
          </w:tcPr>
          <w:p>
            <w:pPr>
              <w:ind w:firstLine="0" w:firstLineChars="0"/>
              <w:jc w:val="center"/>
              <w:rPr>
                <w:rFonts w:ascii="Times New Roman" w:hAnsi="Times New Roman" w:cs="Times New Roman"/>
                <w:b/>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人才引进、职称及学历提升、“双师”素质提升</w:t>
            </w:r>
          </w:p>
        </w:tc>
        <w:tc>
          <w:tcPr>
            <w:tcW w:w="1125" w:type="dxa"/>
            <w:vAlign w:val="center"/>
          </w:tcPr>
          <w:p>
            <w:pPr>
              <w:pStyle w:val="26"/>
              <w:spacing w:before="1"/>
              <w:ind w:right="191"/>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1090" w:type="dxa"/>
            <w:vMerge w:val="continue"/>
          </w:tcPr>
          <w:p>
            <w:pPr>
              <w:ind w:firstLine="420"/>
              <w:jc w:val="left"/>
              <w:rPr>
                <w:rFonts w:ascii="Times New Roman" w:hAnsi="Times New Roman" w:cs="Times New Roman"/>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专任教师轮流下企业实践，参加各级各类培训和进修</w:t>
            </w:r>
          </w:p>
        </w:tc>
        <w:tc>
          <w:tcPr>
            <w:tcW w:w="1125" w:type="dxa"/>
            <w:vAlign w:val="center"/>
          </w:tcPr>
          <w:p>
            <w:pPr>
              <w:pStyle w:val="26"/>
              <w:spacing w:before="72"/>
              <w:ind w:right="191"/>
              <w:jc w:val="center"/>
              <w:rPr>
                <w:rFonts w:ascii="Times New Roman" w:hAnsi="Times New Roman" w:cs="Times New Roman"/>
                <w:sz w:val="21"/>
                <w:szCs w:val="21"/>
              </w:rPr>
            </w:pPr>
            <w:r>
              <w:rPr>
                <w:rFonts w:hint="eastAsia" w:ascii="Times New Roman" w:hAnsi="Times New Roman" w:cs="Times New Roman"/>
                <w:sz w:val="21"/>
                <w:szCs w:val="21"/>
              </w:rPr>
              <w:t>徐赟</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continue"/>
          </w:tcPr>
          <w:p>
            <w:pPr>
              <w:ind w:firstLine="420"/>
              <w:jc w:val="left"/>
              <w:rPr>
                <w:rFonts w:ascii="Times New Roman" w:hAnsi="Times New Roman" w:cs="Times New Roman"/>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专业教师在省级教学能力比赛中获奖2项</w:t>
            </w:r>
          </w:p>
        </w:tc>
        <w:tc>
          <w:tcPr>
            <w:tcW w:w="1125" w:type="dxa"/>
            <w:vAlign w:val="center"/>
          </w:tcPr>
          <w:p>
            <w:pPr>
              <w:pStyle w:val="26"/>
              <w:spacing w:before="72"/>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0.6</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continue"/>
            <w:tcBorders>
              <w:bottom w:val="single" w:color="auto" w:sz="4" w:space="0"/>
            </w:tcBorders>
          </w:tcPr>
          <w:p>
            <w:pPr>
              <w:ind w:firstLine="420"/>
              <w:jc w:val="left"/>
              <w:rPr>
                <w:rFonts w:ascii="Times New Roman" w:hAnsi="Times New Roman" w:cs="Times New Roman"/>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在国家级获奖1项</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restart"/>
            <w:tcBorders>
              <w:top w:val="single" w:color="auto" w:sz="4" w:space="0"/>
            </w:tcBorders>
            <w:textDirection w:val="tbRlV"/>
            <w:vAlign w:val="center"/>
          </w:tcPr>
          <w:p>
            <w:pPr>
              <w:ind w:left="113" w:right="113" w:firstLine="0" w:firstLineChars="0"/>
              <w:jc w:val="center"/>
              <w:rPr>
                <w:rFonts w:ascii="Times New Roman" w:hAnsi="Times New Roman" w:cs="Times New Roman"/>
                <w:sz w:val="21"/>
                <w:szCs w:val="21"/>
              </w:rPr>
            </w:pPr>
            <w:r>
              <w:rPr>
                <w:rFonts w:ascii="Times New Roman" w:hAnsi="Times New Roman" w:cs="Times New Roman"/>
                <w:b/>
                <w:sz w:val="21"/>
                <w:szCs w:val="21"/>
              </w:rPr>
              <w:t>实践教学</w:t>
            </w:r>
          </w:p>
        </w:tc>
        <w:tc>
          <w:tcPr>
            <w:tcW w:w="2790" w:type="dxa"/>
            <w:vAlign w:val="center"/>
          </w:tcPr>
          <w:p>
            <w:pPr>
              <w:pStyle w:val="26"/>
              <w:spacing w:before="80" w:line="278" w:lineRule="auto"/>
              <w:ind w:left="107" w:right="87"/>
              <w:rPr>
                <w:rFonts w:ascii="Times New Roman" w:hAnsi="Times New Roman" w:cs="Times New Roman"/>
                <w:sz w:val="21"/>
                <w:szCs w:val="21"/>
              </w:rPr>
            </w:pPr>
            <w:r>
              <w:rPr>
                <w:rFonts w:ascii="Times New Roman" w:hAnsi="Times New Roman" w:cs="Times New Roman"/>
                <w:sz w:val="21"/>
                <w:szCs w:val="21"/>
              </w:rPr>
              <w:t>完善及新增实训室，实训基地生均工位数超 500 个</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方安安</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100</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60</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25</w:t>
            </w:r>
          </w:p>
        </w:tc>
        <w:tc>
          <w:tcPr>
            <w:tcW w:w="1083" w:type="dxa"/>
            <w:tcBorders>
              <w:top w:val="single" w:color="auto" w:sz="8" w:space="0"/>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1090" w:type="dxa"/>
            <w:vMerge w:val="continue"/>
          </w:tcPr>
          <w:p>
            <w:pPr>
              <w:ind w:firstLine="420"/>
              <w:jc w:val="left"/>
              <w:rPr>
                <w:rFonts w:ascii="Times New Roman" w:hAnsi="Times New Roman" w:cs="Times New Roman"/>
                <w:sz w:val="21"/>
                <w:szCs w:val="21"/>
              </w:rPr>
            </w:pPr>
          </w:p>
        </w:tc>
        <w:tc>
          <w:tcPr>
            <w:tcW w:w="2790" w:type="dxa"/>
            <w:vAlign w:val="center"/>
          </w:tcPr>
          <w:p>
            <w:pPr>
              <w:pStyle w:val="26"/>
              <w:spacing w:before="80" w:line="278" w:lineRule="auto"/>
              <w:ind w:left="107" w:right="87"/>
              <w:rPr>
                <w:rFonts w:ascii="Times New Roman" w:hAnsi="Times New Roman" w:cs="Times New Roman"/>
                <w:sz w:val="21"/>
                <w:szCs w:val="21"/>
              </w:rPr>
            </w:pPr>
            <w:r>
              <w:rPr>
                <w:rFonts w:ascii="Times New Roman" w:hAnsi="Times New Roman" w:cs="Times New Roman"/>
                <w:sz w:val="21"/>
                <w:szCs w:val="21"/>
              </w:rPr>
              <w:t>稳步增长的校外实习基地，满足学生实习需要</w:t>
            </w:r>
          </w:p>
        </w:tc>
        <w:tc>
          <w:tcPr>
            <w:tcW w:w="1125" w:type="dxa"/>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黄建华</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0.075</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1090" w:type="dxa"/>
            <w:vMerge w:val="continue"/>
            <w:tcBorders>
              <w:bottom w:val="single" w:color="auto" w:sz="4" w:space="0"/>
            </w:tcBorders>
          </w:tcPr>
          <w:p>
            <w:pPr>
              <w:ind w:firstLine="420"/>
              <w:jc w:val="left"/>
              <w:rPr>
                <w:rFonts w:ascii="Times New Roman" w:hAnsi="Times New Roman" w:cs="Times New Roman"/>
                <w:sz w:val="21"/>
                <w:szCs w:val="21"/>
              </w:rPr>
            </w:pPr>
          </w:p>
        </w:tc>
        <w:tc>
          <w:tcPr>
            <w:tcW w:w="2790" w:type="dxa"/>
            <w:vAlign w:val="center"/>
          </w:tcPr>
          <w:p>
            <w:pPr>
              <w:pStyle w:val="26"/>
              <w:spacing w:before="80" w:line="278" w:lineRule="auto"/>
              <w:ind w:left="107" w:right="87"/>
              <w:rPr>
                <w:rFonts w:ascii="Times New Roman" w:hAnsi="Times New Roman" w:cs="Times New Roman"/>
                <w:sz w:val="21"/>
                <w:szCs w:val="21"/>
              </w:rPr>
            </w:pPr>
            <w:r>
              <w:rPr>
                <w:rFonts w:ascii="Times New Roman" w:hAnsi="Times New Roman" w:cs="Times New Roman"/>
                <w:sz w:val="21"/>
                <w:szCs w:val="21"/>
              </w:rPr>
              <w:t>企业兼职教师配备充足，共同指导学生实习</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0.125</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1090" w:type="dxa"/>
            <w:vMerge w:val="restart"/>
            <w:tcBorders>
              <w:top w:val="single" w:color="auto" w:sz="4" w:space="0"/>
            </w:tcBorders>
            <w:vAlign w:val="center"/>
          </w:tcPr>
          <w:p>
            <w:pPr>
              <w:spacing w:line="240" w:lineRule="auto"/>
              <w:ind w:firstLine="0" w:firstLineChars="0"/>
              <w:jc w:val="center"/>
              <w:rPr>
                <w:rFonts w:ascii="Times New Roman" w:hAnsi="Times New Roman" w:cs="Times New Roman"/>
                <w:b/>
                <w:sz w:val="21"/>
                <w:szCs w:val="21"/>
              </w:rPr>
            </w:pPr>
            <w:r>
              <w:rPr>
                <w:rFonts w:ascii="Times New Roman" w:hAnsi="Times New Roman" w:cs="Times New Roman"/>
                <w:b/>
                <w:sz w:val="21"/>
                <w:szCs w:val="21"/>
              </w:rPr>
              <w:t>社会</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b/>
                <w:sz w:val="21"/>
                <w:szCs w:val="21"/>
              </w:rPr>
              <w:t>服务</w:t>
            </w:r>
          </w:p>
        </w:tc>
        <w:tc>
          <w:tcPr>
            <w:tcW w:w="2790" w:type="dxa"/>
            <w:vAlign w:val="center"/>
          </w:tcPr>
          <w:p>
            <w:pPr>
              <w:pStyle w:val="26"/>
              <w:spacing w:before="106"/>
              <w:ind w:left="107"/>
              <w:rPr>
                <w:rFonts w:ascii="Times New Roman" w:hAnsi="Times New Roman" w:cs="Times New Roman"/>
                <w:sz w:val="21"/>
                <w:szCs w:val="21"/>
              </w:rPr>
            </w:pPr>
            <w:r>
              <w:rPr>
                <w:rFonts w:ascii="Times New Roman" w:hAnsi="Times New Roman" w:cs="Times New Roman"/>
                <w:sz w:val="21"/>
                <w:szCs w:val="21"/>
              </w:rPr>
              <w:t>网络经济研究中心建设项目</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黄建华</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1090" w:type="dxa"/>
            <w:vMerge w:val="continue"/>
            <w:tcBorders>
              <w:bottom w:val="single" w:color="auto" w:sz="4" w:space="0"/>
            </w:tcBorders>
          </w:tcPr>
          <w:p>
            <w:pPr>
              <w:ind w:firstLine="420"/>
              <w:jc w:val="left"/>
              <w:rPr>
                <w:rFonts w:ascii="Times New Roman" w:hAnsi="Times New Roman" w:cs="Times New Roman"/>
                <w:sz w:val="21"/>
                <w:szCs w:val="21"/>
              </w:rPr>
            </w:pPr>
          </w:p>
        </w:tc>
        <w:tc>
          <w:tcPr>
            <w:tcW w:w="2790" w:type="dxa"/>
            <w:vAlign w:val="center"/>
          </w:tcPr>
          <w:p>
            <w:pPr>
              <w:pStyle w:val="26"/>
              <w:spacing w:before="104"/>
              <w:ind w:left="107"/>
              <w:rPr>
                <w:rFonts w:ascii="Times New Roman" w:hAnsi="Times New Roman" w:cs="Times New Roman"/>
                <w:sz w:val="21"/>
                <w:szCs w:val="21"/>
              </w:rPr>
            </w:pPr>
            <w:r>
              <w:rPr>
                <w:rFonts w:ascii="Times New Roman" w:hAnsi="Times New Roman" w:cs="Times New Roman"/>
                <w:sz w:val="21"/>
                <w:szCs w:val="21"/>
              </w:rPr>
              <w:t>社会培训及技术服务</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徐赟</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49" w:hRule="atLeast"/>
        </w:trPr>
        <w:tc>
          <w:tcPr>
            <w:tcW w:w="5005" w:type="dxa"/>
            <w:gridSpan w:val="3"/>
            <w:tcBorders>
              <w:top w:val="single" w:color="auto" w:sz="4" w:space="0"/>
              <w:bottom w:val="single" w:color="auto" w:sz="4" w:space="0"/>
            </w:tcBorders>
            <w:vAlign w:val="center"/>
          </w:tcPr>
          <w:p>
            <w:pPr>
              <w:pStyle w:val="26"/>
              <w:spacing w:before="6"/>
              <w:jc w:val="center"/>
              <w:rPr>
                <w:rFonts w:ascii="Times New Roman" w:hAnsi="Times New Roman" w:cs="Times New Roman"/>
                <w:sz w:val="21"/>
                <w:szCs w:val="21"/>
              </w:rPr>
            </w:pPr>
            <w:r>
              <w:rPr>
                <w:rFonts w:ascii="Times New Roman" w:hAnsi="Times New Roman" w:cs="Times New Roman"/>
                <w:sz w:val="21"/>
                <w:szCs w:val="21"/>
              </w:rPr>
              <w:t>合计</w:t>
            </w:r>
          </w:p>
        </w:tc>
        <w:tc>
          <w:tcPr>
            <w:tcW w:w="850" w:type="dxa"/>
            <w:tcBorders>
              <w:top w:val="single" w:color="auto" w:sz="8" w:space="0"/>
              <w:left w:val="single" w:color="auto" w:sz="4" w:space="0"/>
              <w:bottom w:val="single" w:color="auto" w:sz="8" w:space="0"/>
              <w:right w:val="single" w:color="auto" w:sz="4" w:space="0"/>
            </w:tcBorders>
            <w:shd w:val="clear" w:color="auto" w:fill="auto"/>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50</w:t>
            </w:r>
          </w:p>
        </w:tc>
        <w:tc>
          <w:tcPr>
            <w:tcW w:w="850" w:type="dxa"/>
            <w:tcBorders>
              <w:top w:val="single" w:color="auto" w:sz="8" w:space="0"/>
              <w:left w:val="nil"/>
              <w:bottom w:val="single" w:color="auto" w:sz="8" w:space="0"/>
              <w:right w:val="single" w:color="auto" w:sz="4" w:space="0"/>
            </w:tcBorders>
            <w:shd w:val="clear" w:color="auto" w:fill="auto"/>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130</w:t>
            </w:r>
          </w:p>
        </w:tc>
        <w:tc>
          <w:tcPr>
            <w:tcW w:w="850" w:type="dxa"/>
            <w:tcBorders>
              <w:top w:val="single" w:color="auto" w:sz="8" w:space="0"/>
              <w:left w:val="nil"/>
              <w:bottom w:val="single" w:color="auto" w:sz="8" w:space="0"/>
              <w:right w:val="single" w:color="auto" w:sz="4" w:space="0"/>
            </w:tcBorders>
            <w:shd w:val="clear" w:color="auto" w:fill="auto"/>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90</w:t>
            </w:r>
          </w:p>
        </w:tc>
        <w:tc>
          <w:tcPr>
            <w:tcW w:w="850" w:type="dxa"/>
            <w:tcBorders>
              <w:top w:val="single" w:color="auto" w:sz="8" w:space="0"/>
              <w:left w:val="nil"/>
              <w:bottom w:val="single" w:color="auto" w:sz="8" w:space="0"/>
              <w:right w:val="single" w:color="auto" w:sz="4" w:space="0"/>
            </w:tcBorders>
            <w:shd w:val="clear" w:color="auto" w:fill="auto"/>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40</w:t>
            </w:r>
          </w:p>
        </w:tc>
        <w:tc>
          <w:tcPr>
            <w:tcW w:w="1083" w:type="dxa"/>
            <w:tcBorders>
              <w:top w:val="single" w:color="auto" w:sz="8" w:space="0"/>
              <w:left w:val="nil"/>
              <w:bottom w:val="single" w:color="auto" w:sz="8" w:space="0"/>
              <w:right w:val="single" w:color="auto" w:sz="8" w:space="0"/>
            </w:tcBorders>
            <w:shd w:val="clear" w:color="auto" w:fill="auto"/>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40</w:t>
            </w:r>
          </w:p>
        </w:tc>
      </w:tr>
    </w:tbl>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hint="eastAsia" w:ascii="黑体"/>
          <w:color w:val="000000" w:themeColor="text1"/>
          <w14:textFill>
            <w14:solidFill>
              <w14:schemeClr w14:val="tx1"/>
            </w14:solidFill>
          </w14:textFill>
        </w:rPr>
      </w:pPr>
    </w:p>
    <w:sectPr>
      <w:pgSz w:w="11906" w:h="16839"/>
      <w:pgMar w:top="992" w:right="1418" w:bottom="278" w:left="1009" w:header="0" w:footer="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205151"/>
      <w:docPartObj>
        <w:docPartGallery w:val="autotext"/>
      </w:docPartObj>
    </w:sdtPr>
    <w:sdtContent>
      <w:sdt>
        <w:sdtPr>
          <w:id w:val="-1705238520"/>
          <w:docPartObj>
            <w:docPartGallery w:val="autotext"/>
          </w:docPartObj>
        </w:sdtPr>
        <w:sdtContent>
          <w:p>
            <w:pPr>
              <w:pStyle w:val="7"/>
              <w:ind w:firstLine="360"/>
              <w:jc w:val="center"/>
            </w:pPr>
            <w:r>
              <w:rPr>
                <w:lang w:val="zh-CN"/>
              </w:rPr>
              <w:t xml:space="preserve"> </w:t>
            </w:r>
          </w:p>
        </w:sdtContent>
      </w:sdt>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780862"/>
      <w:docPartObj>
        <w:docPartGallery w:val="autotext"/>
      </w:docPartObj>
    </w:sdtPr>
    <w:sdtEndPr>
      <w:rPr>
        <w:b/>
        <w:bCs/>
        <w:sz w:val="21"/>
        <w:szCs w:val="21"/>
      </w:rPr>
    </w:sdtEndPr>
    <w:sdtContent>
      <w:p>
        <w:pPr>
          <w:pStyle w:val="7"/>
          <w:ind w:firstLine="360"/>
          <w:jc w:val="center"/>
          <w:rPr>
            <w:b/>
            <w:bCs/>
            <w:sz w:val="21"/>
            <w:szCs w:val="21"/>
          </w:rPr>
        </w:pPr>
        <w:r>
          <w:rPr>
            <w:b/>
            <w:bCs/>
            <w:sz w:val="21"/>
            <w:szCs w:val="21"/>
          </w:rPr>
          <w:fldChar w:fldCharType="begin"/>
        </w:r>
        <w:r>
          <w:rPr>
            <w:b/>
            <w:bCs/>
            <w:sz w:val="21"/>
            <w:szCs w:val="21"/>
          </w:rPr>
          <w:instrText xml:space="preserve">PAGE   \* MERGEFORMAT</w:instrText>
        </w:r>
        <w:r>
          <w:rPr>
            <w:b/>
            <w:bCs/>
            <w:sz w:val="21"/>
            <w:szCs w:val="21"/>
          </w:rPr>
          <w:fldChar w:fldCharType="separate"/>
        </w:r>
        <w:r>
          <w:rPr>
            <w:b/>
            <w:bCs/>
            <w:sz w:val="21"/>
            <w:szCs w:val="21"/>
            <w:lang w:val="zh-CN"/>
          </w:rPr>
          <w:t>2</w:t>
        </w:r>
        <w:r>
          <w:rPr>
            <w:b/>
            <w:bCs/>
            <w:sz w:val="21"/>
            <w:szCs w:val="21"/>
          </w:rPr>
          <w:fldChar w:fldCharType="end"/>
        </w:r>
      </w:p>
    </w:sdtContent>
  </w:sdt>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45C7A"/>
    <w:multiLevelType w:val="multilevel"/>
    <w:tmpl w:val="60445C7A"/>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F5"/>
    <w:rsid w:val="000055F6"/>
    <w:rsid w:val="00061385"/>
    <w:rsid w:val="00065464"/>
    <w:rsid w:val="000715D0"/>
    <w:rsid w:val="000A27A3"/>
    <w:rsid w:val="000D49A3"/>
    <w:rsid w:val="000F28A9"/>
    <w:rsid w:val="001179D3"/>
    <w:rsid w:val="001249C0"/>
    <w:rsid w:val="00156E51"/>
    <w:rsid w:val="001737A6"/>
    <w:rsid w:val="001B711B"/>
    <w:rsid w:val="001D03CD"/>
    <w:rsid w:val="001D7E54"/>
    <w:rsid w:val="00212436"/>
    <w:rsid w:val="00240600"/>
    <w:rsid w:val="00260E17"/>
    <w:rsid w:val="00271EA8"/>
    <w:rsid w:val="002864A0"/>
    <w:rsid w:val="002B0352"/>
    <w:rsid w:val="002B1F5A"/>
    <w:rsid w:val="002B6F70"/>
    <w:rsid w:val="002D1190"/>
    <w:rsid w:val="002F4591"/>
    <w:rsid w:val="00317B16"/>
    <w:rsid w:val="003353B2"/>
    <w:rsid w:val="003552C3"/>
    <w:rsid w:val="00357DE0"/>
    <w:rsid w:val="00382A4D"/>
    <w:rsid w:val="00394EFC"/>
    <w:rsid w:val="003C0F9A"/>
    <w:rsid w:val="003C254E"/>
    <w:rsid w:val="003E47D5"/>
    <w:rsid w:val="00401E2F"/>
    <w:rsid w:val="00405272"/>
    <w:rsid w:val="0040641B"/>
    <w:rsid w:val="00407498"/>
    <w:rsid w:val="004146E9"/>
    <w:rsid w:val="004203FC"/>
    <w:rsid w:val="00442142"/>
    <w:rsid w:val="00456A72"/>
    <w:rsid w:val="00460E2C"/>
    <w:rsid w:val="00461C6C"/>
    <w:rsid w:val="004A33FD"/>
    <w:rsid w:val="004B4CA9"/>
    <w:rsid w:val="004B4ED2"/>
    <w:rsid w:val="004D517A"/>
    <w:rsid w:val="004E0BE1"/>
    <w:rsid w:val="004E1C79"/>
    <w:rsid w:val="00504E7F"/>
    <w:rsid w:val="00526A0C"/>
    <w:rsid w:val="00535463"/>
    <w:rsid w:val="005443DA"/>
    <w:rsid w:val="005879B5"/>
    <w:rsid w:val="00596847"/>
    <w:rsid w:val="005D26AE"/>
    <w:rsid w:val="005D6EC2"/>
    <w:rsid w:val="005E3CAB"/>
    <w:rsid w:val="00611E78"/>
    <w:rsid w:val="0066105C"/>
    <w:rsid w:val="00676096"/>
    <w:rsid w:val="006853F5"/>
    <w:rsid w:val="007054F8"/>
    <w:rsid w:val="0071423E"/>
    <w:rsid w:val="00715FBC"/>
    <w:rsid w:val="007343B4"/>
    <w:rsid w:val="00747E95"/>
    <w:rsid w:val="00751D18"/>
    <w:rsid w:val="00762306"/>
    <w:rsid w:val="0078091A"/>
    <w:rsid w:val="007B5051"/>
    <w:rsid w:val="007C393E"/>
    <w:rsid w:val="007E24F5"/>
    <w:rsid w:val="00825AD4"/>
    <w:rsid w:val="00826607"/>
    <w:rsid w:val="00867C38"/>
    <w:rsid w:val="008D0D32"/>
    <w:rsid w:val="008D29A7"/>
    <w:rsid w:val="008D2F09"/>
    <w:rsid w:val="008E21F4"/>
    <w:rsid w:val="0090559A"/>
    <w:rsid w:val="00970D2C"/>
    <w:rsid w:val="00981FD8"/>
    <w:rsid w:val="00992C15"/>
    <w:rsid w:val="00A07373"/>
    <w:rsid w:val="00A20E4F"/>
    <w:rsid w:val="00A23E03"/>
    <w:rsid w:val="00A4039E"/>
    <w:rsid w:val="00A5180A"/>
    <w:rsid w:val="00AB255A"/>
    <w:rsid w:val="00AC189E"/>
    <w:rsid w:val="00B479E6"/>
    <w:rsid w:val="00B5546E"/>
    <w:rsid w:val="00B55C36"/>
    <w:rsid w:val="00B60ED0"/>
    <w:rsid w:val="00B766FA"/>
    <w:rsid w:val="00B83A15"/>
    <w:rsid w:val="00B94384"/>
    <w:rsid w:val="00BC2223"/>
    <w:rsid w:val="00BD4C1B"/>
    <w:rsid w:val="00BE180F"/>
    <w:rsid w:val="00BF04B6"/>
    <w:rsid w:val="00C17F60"/>
    <w:rsid w:val="00C53020"/>
    <w:rsid w:val="00C72E67"/>
    <w:rsid w:val="00C819B7"/>
    <w:rsid w:val="00CB4D3D"/>
    <w:rsid w:val="00CE56E8"/>
    <w:rsid w:val="00CF4916"/>
    <w:rsid w:val="00CF5384"/>
    <w:rsid w:val="00D21986"/>
    <w:rsid w:val="00D27800"/>
    <w:rsid w:val="00D452E6"/>
    <w:rsid w:val="00D474E4"/>
    <w:rsid w:val="00D501FA"/>
    <w:rsid w:val="00D55707"/>
    <w:rsid w:val="00D700F5"/>
    <w:rsid w:val="00D73632"/>
    <w:rsid w:val="00D83922"/>
    <w:rsid w:val="00DA4043"/>
    <w:rsid w:val="00DB7A3C"/>
    <w:rsid w:val="00DC410F"/>
    <w:rsid w:val="00DF7781"/>
    <w:rsid w:val="00E2357A"/>
    <w:rsid w:val="00E2781E"/>
    <w:rsid w:val="00E4053C"/>
    <w:rsid w:val="00E77449"/>
    <w:rsid w:val="00E84E0F"/>
    <w:rsid w:val="00E9148F"/>
    <w:rsid w:val="00EB6254"/>
    <w:rsid w:val="00ED3F10"/>
    <w:rsid w:val="00F20115"/>
    <w:rsid w:val="00F31FE5"/>
    <w:rsid w:val="00F329BA"/>
    <w:rsid w:val="00F55110"/>
    <w:rsid w:val="00F609D1"/>
    <w:rsid w:val="178F65AC"/>
    <w:rsid w:val="23997E49"/>
    <w:rsid w:val="29047044"/>
    <w:rsid w:val="39660657"/>
    <w:rsid w:val="3CC13496"/>
    <w:rsid w:val="51750039"/>
    <w:rsid w:val="5AD12A39"/>
    <w:rsid w:val="5C2308C9"/>
    <w:rsid w:val="5CA9491D"/>
    <w:rsid w:val="5F071A13"/>
    <w:rsid w:val="5F725CF0"/>
    <w:rsid w:val="681A6EF1"/>
    <w:rsid w:val="6EA9589F"/>
    <w:rsid w:val="7030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heme="minorBidi"/>
      <w:kern w:val="2"/>
      <w:sz w:val="24"/>
      <w:szCs w:val="22"/>
      <w:lang w:val="en-US" w:eastAsia="zh-CN" w:bidi="ar-SA"/>
    </w:rPr>
  </w:style>
  <w:style w:type="paragraph" w:styleId="2">
    <w:name w:val="heading 1"/>
    <w:basedOn w:val="1"/>
    <w:next w:val="1"/>
    <w:link w:val="17"/>
    <w:qFormat/>
    <w:uiPriority w:val="9"/>
    <w:pPr>
      <w:keepNext/>
      <w:keepLines/>
      <w:ind w:firstLine="0" w:firstLineChars="0"/>
      <w:outlineLvl w:val="0"/>
    </w:pPr>
    <w:rPr>
      <w:rFonts w:eastAsia="黑体"/>
      <w:b/>
      <w:bCs/>
      <w:kern w:val="44"/>
      <w:sz w:val="32"/>
      <w:szCs w:val="44"/>
    </w:rPr>
  </w:style>
  <w:style w:type="paragraph" w:styleId="3">
    <w:name w:val="heading 2"/>
    <w:basedOn w:val="1"/>
    <w:next w:val="1"/>
    <w:link w:val="18"/>
    <w:unhideWhenUsed/>
    <w:qFormat/>
    <w:uiPriority w:val="9"/>
    <w:pPr>
      <w:keepNext/>
      <w:keepLines/>
      <w:ind w:firstLine="0" w:firstLineChars="0"/>
      <w:jc w:val="left"/>
      <w:outlineLvl w:val="1"/>
    </w:pPr>
    <w:rPr>
      <w:rFonts w:eastAsia="Microsoft JhengHei" w:asciiTheme="majorHAnsi" w:hAnsiTheme="majorHAnsi" w:cstheme="majorBidi"/>
      <w:b/>
      <w:bCs/>
      <w:sz w:val="28"/>
      <w:szCs w:val="32"/>
    </w:rPr>
  </w:style>
  <w:style w:type="paragraph" w:styleId="4">
    <w:name w:val="heading 3"/>
    <w:basedOn w:val="1"/>
    <w:next w:val="1"/>
    <w:link w:val="20"/>
    <w:unhideWhenUsed/>
    <w:qFormat/>
    <w:uiPriority w:val="9"/>
    <w:pPr>
      <w:keepNext/>
      <w:keepLines/>
      <w:ind w:firstLine="0" w:firstLineChars="0"/>
      <w:jc w:val="left"/>
      <w:outlineLvl w:val="2"/>
    </w:pPr>
    <w:rPr>
      <w:b/>
      <w:bCs/>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unhideWhenUsed/>
    <w:qFormat/>
    <w:uiPriority w:val="99"/>
    <w:pPr>
      <w:spacing w:after="120"/>
    </w:pPr>
  </w:style>
  <w:style w:type="paragraph" w:styleId="6">
    <w:name w:val="Balloon Text"/>
    <w:basedOn w:val="1"/>
    <w:link w:val="25"/>
    <w:semiHidden/>
    <w:unhideWhenUsed/>
    <w:uiPriority w:val="99"/>
    <w:pPr>
      <w:spacing w:line="240" w:lineRule="auto"/>
    </w:pPr>
    <w:rPr>
      <w:sz w:val="18"/>
      <w:szCs w:val="18"/>
    </w:rPr>
  </w:style>
  <w:style w:type="paragraph" w:styleId="7">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uiPriority w:val="39"/>
    <w:pPr>
      <w:tabs>
        <w:tab w:val="right" w:leader="dot" w:pos="8818"/>
      </w:tabs>
      <w:ind w:firstLine="0" w:firstLineChars="0"/>
      <w:jc w:val="center"/>
    </w:pPr>
  </w:style>
  <w:style w:type="paragraph" w:styleId="10">
    <w:name w:val="toc 2"/>
    <w:basedOn w:val="1"/>
    <w:next w:val="1"/>
    <w:unhideWhenUsed/>
    <w:qFormat/>
    <w:uiPriority w:val="39"/>
    <w:pPr>
      <w:tabs>
        <w:tab w:val="right" w:leader="dot" w:pos="8818"/>
      </w:tabs>
      <w:ind w:firstLine="0" w:firstLineChars="0"/>
    </w:p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character" w:styleId="14">
    <w:name w:val="Hyperlink"/>
    <w:basedOn w:val="13"/>
    <w:semiHidden/>
    <w:unhideWhenUsed/>
    <w:qFormat/>
    <w:uiPriority w:val="99"/>
    <w:rPr>
      <w:color w:val="0000FF"/>
      <w:u w:val="single"/>
    </w:rPr>
  </w:style>
  <w:style w:type="paragraph" w:customStyle="1" w:styleId="15">
    <w:name w:val="标题2"/>
    <w:basedOn w:val="1"/>
    <w:next w:val="5"/>
    <w:qFormat/>
    <w:uiPriority w:val="0"/>
    <w:pPr>
      <w:widowControl/>
      <w:adjustRightInd w:val="0"/>
      <w:snapToGrid w:val="0"/>
      <w:spacing w:before="62" w:beforeLines="20" w:after="62" w:afterLines="20"/>
      <w:ind w:firstLine="0" w:firstLineChars="0"/>
      <w:jc w:val="left"/>
      <w:outlineLvl w:val="1"/>
    </w:pPr>
    <w:rPr>
      <w:rFonts w:ascii="宋体" w:hAnsi="宋体" w:cs="宋体"/>
      <w:b/>
      <w:color w:val="000000"/>
      <w:kern w:val="0"/>
      <w:sz w:val="28"/>
      <w:szCs w:val="21"/>
    </w:rPr>
  </w:style>
  <w:style w:type="character" w:customStyle="1" w:styleId="16">
    <w:name w:val="正文文本 字符"/>
    <w:basedOn w:val="13"/>
    <w:link w:val="5"/>
    <w:qFormat/>
    <w:uiPriority w:val="99"/>
  </w:style>
  <w:style w:type="character" w:customStyle="1" w:styleId="17">
    <w:name w:val="标题 1 字符"/>
    <w:basedOn w:val="13"/>
    <w:link w:val="2"/>
    <w:qFormat/>
    <w:uiPriority w:val="9"/>
    <w:rPr>
      <w:rFonts w:ascii="Arial" w:hAnsi="Arial" w:eastAsia="黑体"/>
      <w:b/>
      <w:bCs/>
      <w:kern w:val="44"/>
      <w:sz w:val="32"/>
      <w:szCs w:val="44"/>
    </w:rPr>
  </w:style>
  <w:style w:type="character" w:customStyle="1" w:styleId="18">
    <w:name w:val="标题 2 字符"/>
    <w:basedOn w:val="13"/>
    <w:link w:val="3"/>
    <w:qFormat/>
    <w:uiPriority w:val="9"/>
    <w:rPr>
      <w:rFonts w:eastAsia="Microsoft JhengHei" w:asciiTheme="majorHAnsi" w:hAnsiTheme="majorHAnsi" w:cstheme="majorBidi"/>
      <w:b/>
      <w:bCs/>
      <w:kern w:val="2"/>
      <w:sz w:val="28"/>
      <w:szCs w:val="32"/>
    </w:rPr>
  </w:style>
  <w:style w:type="paragraph" w:customStyle="1" w:styleId="19">
    <w:name w:val="标题3"/>
    <w:basedOn w:val="15"/>
    <w:qFormat/>
    <w:uiPriority w:val="0"/>
    <w:pPr>
      <w:spacing w:before="20" w:after="20"/>
      <w:outlineLvl w:val="2"/>
    </w:pPr>
    <w:rPr>
      <w:sz w:val="24"/>
    </w:rPr>
  </w:style>
  <w:style w:type="character" w:customStyle="1" w:styleId="20">
    <w:name w:val="标题 3 字符"/>
    <w:basedOn w:val="13"/>
    <w:link w:val="4"/>
    <w:qFormat/>
    <w:uiPriority w:val="9"/>
    <w:rPr>
      <w:rFonts w:ascii="Arial" w:hAnsi="Arial" w:eastAsia="宋体"/>
      <w:b/>
      <w:bCs/>
      <w:sz w:val="28"/>
      <w:szCs w:val="32"/>
    </w:rPr>
  </w:style>
  <w:style w:type="table" w:customStyle="1" w:styleId="21">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2">
    <w:name w:val="页眉 字符"/>
    <w:basedOn w:val="13"/>
    <w:link w:val="8"/>
    <w:qFormat/>
    <w:uiPriority w:val="99"/>
    <w:rPr>
      <w:rFonts w:ascii="Arial" w:hAnsi="Arial" w:eastAsia="宋体"/>
      <w:kern w:val="2"/>
      <w:sz w:val="18"/>
      <w:szCs w:val="18"/>
    </w:rPr>
  </w:style>
  <w:style w:type="character" w:customStyle="1" w:styleId="23">
    <w:name w:val="页脚 字符"/>
    <w:basedOn w:val="13"/>
    <w:link w:val="7"/>
    <w:qFormat/>
    <w:uiPriority w:val="99"/>
    <w:rPr>
      <w:rFonts w:ascii="Arial" w:hAnsi="Arial" w:eastAsia="宋体"/>
      <w:kern w:val="2"/>
      <w:sz w:val="18"/>
      <w:szCs w:val="18"/>
    </w:rPr>
  </w:style>
  <w:style w:type="paragraph" w:styleId="24">
    <w:name w:val="List Paragraph"/>
    <w:basedOn w:val="1"/>
    <w:qFormat/>
    <w:uiPriority w:val="99"/>
    <w:pPr>
      <w:ind w:firstLine="420"/>
    </w:pPr>
  </w:style>
  <w:style w:type="character" w:customStyle="1" w:styleId="25">
    <w:name w:val="批注框文本 字符"/>
    <w:basedOn w:val="13"/>
    <w:link w:val="6"/>
    <w:semiHidden/>
    <w:qFormat/>
    <w:uiPriority w:val="99"/>
    <w:rPr>
      <w:rFonts w:ascii="Arial" w:hAnsi="Arial" w:eastAsia="宋体"/>
      <w:kern w:val="2"/>
      <w:sz w:val="18"/>
      <w:szCs w:val="18"/>
    </w:rPr>
  </w:style>
  <w:style w:type="paragraph" w:customStyle="1" w:styleId="2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B4542-ADB4-4D2B-9EC8-26FFE2FC1182}">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2211</Words>
  <Characters>12608</Characters>
  <Lines>105</Lines>
  <Paragraphs>29</Paragraphs>
  <TotalTime>3</TotalTime>
  <ScaleCrop>false</ScaleCrop>
  <LinksUpToDate>false</LinksUpToDate>
  <CharactersWithSpaces>14790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2022-01-20T10:39:00Z</dcterms:created>
  <dc:creator>Administrator</dc:creator>
  <cp:lastModifiedBy>Administrator</cp:lastModifiedBy>
  <dcterms:modified xsi:type="dcterms:W3CDTF">2022-02-14T02:55:32Z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F4DC65C221DB48779A14C1D4D20566DD</vt:lpwstr>
  </property>
</Properties>
</file>