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12200"/>
          <w:spacing w:val="0"/>
          <w:kern w:val="0"/>
          <w:sz w:val="40"/>
          <w:szCs w:val="40"/>
          <w:u w:val="none"/>
          <w:shd w:val="clear" w:fill="F9F9F9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12200"/>
          <w:spacing w:val="0"/>
          <w:kern w:val="0"/>
          <w:sz w:val="40"/>
          <w:szCs w:val="40"/>
          <w:u w:val="none"/>
          <w:shd w:val="clear" w:fill="F9F9F9"/>
          <w:lang w:val="en-US" w:eastAsia="zh-CN" w:bidi="ar"/>
        </w:rPr>
        <w:t>共青科技职业学院学术讲座管理办法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200" w:afterAutospacing="0"/>
        <w:ind w:left="0" w:right="20" w:firstLine="564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  <w:t>为调动我校广大教职工参与学术活动的积极</w:t>
      </w:r>
      <w:r>
        <w:rPr>
          <w:rFonts w:hint="eastAsia" w:ascii="宋体" w:hAnsi="宋体" w:eastAsia="宋体" w:cs="宋体"/>
          <w:color w:val="000000"/>
          <w:spacing w:val="-4"/>
          <w:sz w:val="24"/>
          <w:szCs w:val="24"/>
          <w:vertAlign w:val="baseline"/>
        </w:rPr>
        <w:t>性，活跃学校的学术氛围，</w:t>
      </w:r>
      <w:r>
        <w:rPr>
          <w:rFonts w:hint="eastAsia" w:ascii="宋体" w:hAnsi="宋体" w:eastAsia="宋体" w:cs="宋体"/>
          <w:color w:val="000000"/>
          <w:sz w:val="24"/>
          <w:szCs w:val="24"/>
          <w:vertAlign w:val="baseline"/>
        </w:rPr>
        <w:t> </w:t>
      </w:r>
      <w:r>
        <w:rPr>
          <w:rFonts w:hint="eastAsia" w:ascii="宋体" w:hAnsi="宋体" w:eastAsia="宋体" w:cs="宋体"/>
          <w:color w:val="000000"/>
          <w:spacing w:val="-1"/>
          <w:sz w:val="24"/>
          <w:szCs w:val="24"/>
          <w:vertAlign w:val="baseline"/>
        </w:rPr>
        <w:t>积极开展学术讲座活动，特制定本办法。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200" w:afterAutospacing="0"/>
        <w:ind w:left="0" w:right="20" w:firstLine="564"/>
        <w:jc w:val="left"/>
        <w:textAlignment w:val="auto"/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  <w:t>一、负责机构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200" w:afterAutospacing="0"/>
        <w:ind w:left="0" w:right="20" w:firstLine="564"/>
        <w:jc w:val="left"/>
        <w:textAlignment w:val="auto"/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  <w:lang w:eastAsia="zh-CN"/>
        </w:rPr>
      </w:pPr>
      <w:r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  <w:t>（一）科研处是管理学术讲座的职能部门，负责学术讲座活动的统筹规划、统一管理</w:t>
      </w:r>
      <w:r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200" w:afterAutospacing="0"/>
        <w:ind w:left="0" w:right="20" w:firstLine="564"/>
        <w:jc w:val="left"/>
        <w:textAlignment w:val="auto"/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  <w:t>（二）各二级学院是举办学术讲座活动的承办单位。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200" w:afterAutospacing="0"/>
        <w:ind w:left="0" w:right="20" w:firstLine="564"/>
        <w:jc w:val="left"/>
        <w:textAlignment w:val="auto"/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  <w:t>（三）学工处、团委、宣传部、教务处、图书馆、网络中心、保卫处、总务处等单位是学术讲座活动的协办单位。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200" w:afterAutospacing="0"/>
        <w:ind w:left="0" w:right="20" w:firstLine="564"/>
        <w:jc w:val="left"/>
        <w:textAlignment w:val="auto"/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  <w:t>二、讲座类型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200" w:afterAutospacing="0"/>
        <w:ind w:left="0" w:right="20" w:firstLine="564"/>
        <w:jc w:val="left"/>
        <w:textAlignment w:val="auto"/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  <w:t>学术报告会分为两种专场：校外名家专场和校内名师专场。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200" w:afterAutospacing="0"/>
        <w:ind w:left="0" w:right="20" w:firstLine="564"/>
        <w:jc w:val="left"/>
        <w:textAlignment w:val="auto"/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  <w:t>（一）校外名家专场原则上为大型学术报告会，对象以各二级学院师生为主，向全校师生开放。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200" w:afterAutospacing="0"/>
        <w:ind w:left="0" w:right="20" w:firstLine="564"/>
        <w:jc w:val="left"/>
        <w:textAlignment w:val="auto"/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  <w:t>（二）校内名师专场原则上为小型学术报告会，对象为各二级学院师生。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200" w:afterAutospacing="0"/>
        <w:ind w:left="0" w:right="20" w:firstLine="564"/>
        <w:jc w:val="left"/>
        <w:textAlignment w:val="auto"/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  <w:t>三、组织管理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200" w:afterAutospacing="0"/>
        <w:ind w:left="0" w:right="20" w:firstLine="564"/>
        <w:jc w:val="left"/>
        <w:textAlignment w:val="auto"/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  <w:t>（一）各二级学院依据《共青科技职业学院学术讲座管理办法》，提前一周向科研处提交学术讲座申请。由科研处审核、分管校领导审批同意后，各二级学院方可依据申请举办学术讲座活动。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200" w:afterAutospacing="0"/>
        <w:ind w:left="0" w:right="20" w:firstLine="564"/>
        <w:jc w:val="left"/>
        <w:textAlignment w:val="auto"/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  <w:t>（二）各二级学院须认真做好准备、接待、组织、宣传和总结等工作， 具体按照如下要求执行：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200" w:afterAutospacing="0"/>
        <w:ind w:left="0" w:right="20" w:firstLine="564"/>
        <w:jc w:val="left"/>
        <w:textAlignment w:val="auto"/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  <w:t>1.准备工作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200" w:afterAutospacing="0"/>
        <w:ind w:left="0" w:right="20" w:firstLine="564"/>
        <w:jc w:val="left"/>
        <w:textAlignment w:val="auto"/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  <w:t>（1）宣传工作：由宣传部等单位配合承办单位负责落实活动的宣传工 作，通过海报、校园网等途径进行宣传，内容须包括活动类型、主题（题目）、参与人（主讲人、听众）、时间、地点等。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200" w:afterAutospacing="0"/>
        <w:ind w:left="0" w:right="20" w:firstLine="564"/>
        <w:jc w:val="left"/>
        <w:textAlignment w:val="auto"/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  <w:t>（2）会场安排：党政办、科研处、团委、保卫处等单位配合承办单位</w:t>
      </w:r>
      <w:r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  <w:t>落实安排场地申请、会场布置、座位牌的摆放、茶水、瓜果和点心的准备。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200" w:afterAutospacing="0"/>
        <w:ind w:left="0" w:right="20" w:firstLine="564"/>
        <w:jc w:val="left"/>
        <w:textAlignment w:val="auto"/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  <w:t>（3）设备保障：党政办、网络中心等单位配合承办单位负责会场音响、 灯光、话筒、摄像、录音等设备和通风、空调、电扇等设备的检查。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200" w:afterAutospacing="0"/>
        <w:ind w:left="0" w:right="20" w:firstLine="564"/>
        <w:jc w:val="left"/>
        <w:textAlignment w:val="auto"/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  <w:t>（4）环境卫生：学工处、后勤处配合承办单位负责场地的环境卫生。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200" w:afterAutospacing="0"/>
        <w:ind w:left="0" w:right="20" w:firstLine="564"/>
        <w:jc w:val="left"/>
        <w:textAlignment w:val="auto"/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  <w:t>（5）安全保障：保卫处配合承办单位负责指挥入场车辆停放，并保证场内外安全。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200" w:afterAutospacing="0"/>
        <w:ind w:left="0" w:right="20" w:firstLine="564"/>
        <w:jc w:val="left"/>
        <w:textAlignment w:val="auto"/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  <w:t>（6）健康保障：保卫处应根据江西省的疫情防范等要求做好保障工作。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200" w:afterAutospacing="0"/>
        <w:ind w:left="0" w:right="20" w:firstLine="564"/>
        <w:jc w:val="left"/>
        <w:textAlignment w:val="auto"/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  <w:t>2.接待工作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200" w:afterAutospacing="0"/>
        <w:ind w:left="0" w:right="20" w:firstLine="564"/>
        <w:jc w:val="left"/>
        <w:textAlignment w:val="auto"/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  <w:t>（1）邀请校外名家来校的一律由承办单位做好迎送、交通、食宿和陪同工作。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200" w:afterAutospacing="0"/>
        <w:ind w:left="0" w:right="20" w:firstLine="564"/>
        <w:jc w:val="left"/>
        <w:textAlignment w:val="auto"/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  <w:t>（2）承办单位负责引导校外名家入场和退场。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200" w:afterAutospacing="0"/>
        <w:ind w:left="0" w:right="20" w:firstLine="564"/>
        <w:jc w:val="left"/>
        <w:textAlignment w:val="auto"/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  <w:t>3.总结工作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200" w:afterAutospacing="0"/>
        <w:ind w:left="0" w:right="20" w:firstLine="564"/>
        <w:jc w:val="left"/>
        <w:textAlignment w:val="auto"/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  <w:t>（1）活动结束后，宣传部等单位配合承办单位在学校网站上予以宣传报道。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200" w:afterAutospacing="0"/>
        <w:ind w:left="0" w:right="20" w:firstLine="564"/>
        <w:jc w:val="left"/>
        <w:textAlignment w:val="auto"/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  <w:t>（2）活动结束后，承办单位应在一周内完成总结工作，完成共青科技职业学院学术讲座活动总结，并附影像资料（含音频、视频、照片等）、讲稿（课件）等提交科研处备存。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200" w:afterAutospacing="0"/>
        <w:ind w:left="0" w:right="20" w:firstLine="564"/>
        <w:jc w:val="left"/>
        <w:textAlignment w:val="auto"/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  <w:t>（三）学术讲座活动费用由科研处依据规定和学校财务管理制度执行。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200" w:afterAutospacing="0"/>
        <w:ind w:left="0" w:right="20" w:firstLine="564"/>
        <w:jc w:val="left"/>
        <w:textAlignment w:val="auto"/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  <w:t>（四）学术讲座活动实行承办单位负责制，负责做好整个活动的组织和管理，科研处负责检查和督促。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200" w:afterAutospacing="0"/>
        <w:ind w:left="0" w:right="20" w:firstLine="564"/>
        <w:jc w:val="left"/>
        <w:textAlignment w:val="auto"/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  <w:t>（五）各二级学院在组织学术讲座时要紧扣讲堂宗旨，认真研究确定主题，邀请在学术领域或业界有一定影响力的学者</w:t>
      </w:r>
      <w:r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  <w:t>、专家或行业领军人物。校内名师专场主要邀请校内教授、副教授、博士、硕士作专题报告。各二级学院在推荐校内名师做专题报告时要严格把握，对报告人、报告选题、报告内容、课件等进行审核。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200" w:afterAutospacing="0"/>
        <w:ind w:left="0" w:right="20" w:firstLine="564"/>
        <w:jc w:val="left"/>
        <w:textAlignment w:val="auto"/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  <w:t>（六）在活动过程中，如出现违反国家法律法规和党的方针政策的错误言论，或偏离主题，承办单位应及时加以制止（必要时中止讲座），并 将有关情况及时报送科研处。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200" w:afterAutospacing="0"/>
        <w:ind w:left="0" w:right="20" w:firstLine="564"/>
        <w:jc w:val="left"/>
        <w:textAlignment w:val="auto"/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  <w:t>（七）凡违反上述管理规定，或由于组织不当、审查不严、制止不力等原因，造成不良影响与后果，学校将追究承办单位和相关负责人的责任。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200" w:afterAutospacing="0"/>
        <w:ind w:left="0" w:right="20" w:firstLine="564"/>
        <w:jc w:val="left"/>
        <w:textAlignment w:val="auto"/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  <w:t>四、讲座费用标准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200" w:afterAutospacing="0"/>
        <w:ind w:left="0" w:right="20" w:firstLine="564"/>
        <w:jc w:val="left"/>
        <w:textAlignment w:val="auto"/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  <w:t>学术讲座活动费用主要包含讲座酬金和接待费两个部分。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200" w:afterAutospacing="0"/>
        <w:ind w:left="0" w:right="20" w:firstLine="564"/>
        <w:jc w:val="left"/>
        <w:textAlignment w:val="auto"/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  <w:t>（一）讲座酬金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200" w:afterAutospacing="0"/>
        <w:ind w:left="0" w:right="20" w:firstLine="564"/>
        <w:jc w:val="left"/>
        <w:textAlignment w:val="auto"/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  <w:t>1.校内人员讲座酬金发放标准</w:t>
      </w:r>
    </w:p>
    <w:tbl>
      <w:tblPr>
        <w:tblStyle w:val="3"/>
        <w:tblW w:w="8526" w:type="dxa"/>
        <w:tblInd w:w="5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1"/>
        <w:gridCol w:w="3130"/>
        <w:gridCol w:w="454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2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4"/>
                <w:sz w:val="24"/>
                <w:szCs w:val="24"/>
              </w:rPr>
              <w:t>序号</w:t>
            </w:r>
          </w:p>
        </w:tc>
        <w:tc>
          <w:tcPr>
            <w:tcW w:w="3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5"/>
                <w:sz w:val="24"/>
                <w:szCs w:val="24"/>
              </w:rPr>
              <w:t>职称/学历</w:t>
            </w:r>
          </w:p>
        </w:tc>
        <w:tc>
          <w:tcPr>
            <w:tcW w:w="4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6"/>
                <w:sz w:val="24"/>
                <w:szCs w:val="24"/>
              </w:rPr>
              <w:t>酬金标准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7" w:hRule="atLeast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正高</w:t>
            </w:r>
          </w:p>
        </w:tc>
        <w:tc>
          <w:tcPr>
            <w:tcW w:w="4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500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元/场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2" w:hRule="atLeast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副高</w:t>
            </w:r>
          </w:p>
        </w:tc>
        <w:tc>
          <w:tcPr>
            <w:tcW w:w="4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300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元/场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="200" w:afterAutospacing="0"/>
        <w:ind w:left="740" w:righ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-1"/>
          <w:sz w:val="24"/>
          <w:szCs w:val="24"/>
          <w:vertAlign w:val="baseline"/>
        </w:rPr>
        <w:t>2.校外专家学术讲座酬金发放标准</w:t>
      </w:r>
    </w:p>
    <w:tbl>
      <w:tblPr>
        <w:tblStyle w:val="3"/>
        <w:tblW w:w="8526" w:type="dxa"/>
        <w:tblInd w:w="5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1"/>
        <w:gridCol w:w="3822"/>
        <w:gridCol w:w="1855"/>
        <w:gridCol w:w="199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3" w:hRule="atLeast"/>
        </w:trPr>
        <w:tc>
          <w:tcPr>
            <w:tcW w:w="851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4"/>
                <w:sz w:val="24"/>
                <w:szCs w:val="24"/>
              </w:rPr>
              <w:t>序号</w:t>
            </w:r>
          </w:p>
        </w:tc>
        <w:tc>
          <w:tcPr>
            <w:tcW w:w="3822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6"/>
                <w:sz w:val="24"/>
                <w:szCs w:val="24"/>
              </w:rPr>
              <w:t>校外名家</w:t>
            </w:r>
          </w:p>
        </w:tc>
        <w:tc>
          <w:tcPr>
            <w:tcW w:w="38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6"/>
                <w:sz w:val="24"/>
                <w:szCs w:val="24"/>
              </w:rPr>
              <w:t>酬金标准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8" w:hRule="atLeast"/>
        </w:trPr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22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5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"/>
                <w:sz w:val="24"/>
                <w:szCs w:val="24"/>
              </w:rPr>
              <w:t>省外</w:t>
            </w:r>
          </w:p>
        </w:tc>
        <w:tc>
          <w:tcPr>
            <w:tcW w:w="199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"/>
                <w:sz w:val="24"/>
                <w:szCs w:val="24"/>
              </w:rPr>
              <w:t>省内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/>
              <w:ind w:left="68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8" w:hRule="atLeast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/>
              <w:ind w:left="52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/>
              <w:ind w:left="230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00" w:hRule="atLeast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8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院士</w:t>
            </w:r>
          </w:p>
        </w:tc>
        <w:tc>
          <w:tcPr>
            <w:tcW w:w="18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10000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元/场</w:t>
            </w:r>
          </w:p>
        </w:tc>
        <w:tc>
          <w:tcPr>
            <w:tcW w:w="19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8000元/场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8" w:hRule="atLeast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8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9"/>
                <w:sz w:val="24"/>
                <w:szCs w:val="24"/>
              </w:rPr>
              <w:t>省（部）级领导及国家一级教授</w:t>
            </w:r>
          </w:p>
        </w:tc>
        <w:tc>
          <w:tcPr>
            <w:tcW w:w="18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8000元/场</w:t>
            </w:r>
          </w:p>
        </w:tc>
        <w:tc>
          <w:tcPr>
            <w:tcW w:w="19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5000元/场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9" w:hRule="atLeast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38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  <w:t>厅级、国家二级教授</w:t>
            </w:r>
          </w:p>
        </w:tc>
        <w:tc>
          <w:tcPr>
            <w:tcW w:w="18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5000元/场</w:t>
            </w:r>
          </w:p>
        </w:tc>
        <w:tc>
          <w:tcPr>
            <w:tcW w:w="19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4000元/场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8" w:hRule="atLeast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38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</w:rPr>
              <w:t>处级、教授、博导</w:t>
            </w:r>
          </w:p>
        </w:tc>
        <w:tc>
          <w:tcPr>
            <w:tcW w:w="18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3000元/场</w:t>
            </w:r>
          </w:p>
        </w:tc>
        <w:tc>
          <w:tcPr>
            <w:tcW w:w="19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3000元/场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3" w:hRule="atLeast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38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sz w:val="24"/>
                <w:szCs w:val="24"/>
              </w:rPr>
              <w:t>硕导、博士</w:t>
            </w:r>
          </w:p>
        </w:tc>
        <w:tc>
          <w:tcPr>
            <w:tcW w:w="18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2000元/场</w:t>
            </w:r>
          </w:p>
        </w:tc>
        <w:tc>
          <w:tcPr>
            <w:tcW w:w="19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1500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元/场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200" w:afterAutospacing="0"/>
        <w:ind w:left="0" w:right="20" w:firstLine="564"/>
        <w:jc w:val="left"/>
        <w:textAlignment w:val="auto"/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  <w:t>（二）接待费用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200" w:afterAutospacing="0"/>
        <w:ind w:left="0" w:right="20" w:firstLine="564"/>
        <w:jc w:val="left"/>
        <w:textAlignment w:val="auto"/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  <w:t>校外名家的交通费、食宿费等费用由科研处参照学校财务管理办法统一进行报销。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200" w:afterAutospacing="0"/>
        <w:ind w:left="0" w:right="20" w:firstLine="564"/>
        <w:jc w:val="left"/>
        <w:textAlignment w:val="auto"/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  <w:t>（三）说明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200" w:afterAutospacing="0"/>
        <w:ind w:left="0" w:right="20" w:firstLine="564"/>
        <w:jc w:val="left"/>
        <w:textAlignment w:val="auto"/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  <w:t>1.单场活动总费用最高不得超过1.5万元。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200" w:afterAutospacing="0"/>
        <w:ind w:left="0" w:right="20" w:firstLine="564"/>
        <w:jc w:val="left"/>
        <w:textAlignment w:val="auto"/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  <w:lang w:eastAsia="zh-CN"/>
        </w:rPr>
      </w:pPr>
      <w:r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  <w:t>2.校内教师职称以校聘为准（含低职高聘</w:t>
      </w:r>
      <w:r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200" w:afterAutospacing="0"/>
        <w:ind w:left="0" w:right="20" w:firstLine="564"/>
        <w:jc w:val="left"/>
        <w:textAlignment w:val="auto"/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  <w:t>3.特别邀请的校外名家酬金单独申报。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200" w:afterAutospacing="0"/>
        <w:ind w:left="0" w:right="20" w:firstLine="564"/>
        <w:jc w:val="left"/>
        <w:textAlignment w:val="auto"/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  <w:t>五、讲座费用支付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200" w:afterAutospacing="0"/>
        <w:ind w:left="0" w:right="20" w:firstLine="564"/>
        <w:jc w:val="left"/>
        <w:textAlignment w:val="auto"/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  <w:t>由学校组织的学术讲座，费用的支出由科研处参照学校财务管理办法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  <w:t>统一进行报销。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200" w:afterAutospacing="0"/>
        <w:ind w:left="0" w:right="20" w:firstLine="564"/>
        <w:jc w:val="left"/>
        <w:textAlignment w:val="auto"/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color w:val="000000"/>
          <w:spacing w:val="-3"/>
          <w:sz w:val="24"/>
          <w:szCs w:val="24"/>
          <w:vertAlign w:val="baseline"/>
        </w:rPr>
        <w:t>  六、本规定自发布之日起实施并由科研处负责解释。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/>
        <w:ind w:left="0" w:right="0"/>
        <w:jc w:val="right"/>
      </w:pPr>
      <w:r>
        <w:rPr>
          <w:rFonts w:hint="eastAsia" w:ascii="宋体" w:hAnsi="宋体" w:eastAsia="宋体" w:cs="宋体"/>
          <w:color w:val="000000"/>
          <w:spacing w:val="-1"/>
          <w:sz w:val="28"/>
          <w:szCs w:val="28"/>
          <w:vertAlign w:val="baseline"/>
        </w:rPr>
        <w:t>科研处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/>
        <w:ind w:left="0" w:right="0"/>
        <w:jc w:val="right"/>
      </w:pPr>
      <w:r>
        <w:rPr>
          <w:rFonts w:hint="eastAsia" w:ascii="宋体" w:hAnsi="宋体" w:eastAsia="宋体" w:cs="宋体"/>
          <w:color w:val="000000"/>
          <w:spacing w:val="-1"/>
          <w:sz w:val="28"/>
          <w:szCs w:val="28"/>
          <w:vertAlign w:val="baseline"/>
        </w:rPr>
        <w:t>2022年8月8日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12200"/>
          <w:spacing w:val="0"/>
          <w:kern w:val="0"/>
          <w:sz w:val="40"/>
          <w:szCs w:val="40"/>
          <w:u w:val="none"/>
          <w:shd w:val="clear" w:fill="F9F9F9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A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1DE04F9"/>
    <w:rsid w:val="91DE04F9"/>
    <w:rsid w:val="FFDCF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7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2024-07-13T18:53:00Z</dcterms:created>
  <dc:creator>huyaodan</dc:creator>
  <cp:lastModifiedBy>huyaodan</cp:lastModifiedBy>
  <dcterms:modified xsi:type="dcterms:W3CDTF">2024-07-13T11:01:03Z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11DF0E61875D9CC61BEC916632431691_41</vt:lpwstr>
  </property>
</Properties>
</file>